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D61" w:rsidP="000233A5" w:rsidRDefault="00620C15" w14:paraId="61513D7D" w14:textId="4B339AB1">
      <w:pPr>
        <w:spacing w:before="82" w:line="408" w:lineRule="auto"/>
        <w:ind w:right="2801"/>
        <w:rPr>
          <w:rFonts w:ascii="Calibri Light"/>
          <w:color w:val="2E5395"/>
          <w:sz w:val="32"/>
        </w:rPr>
      </w:pPr>
      <w:r w:rsidRPr="00375D4A">
        <w:rPr>
          <w:rFonts w:ascii="Calibri Light"/>
          <w:b/>
          <w:bCs/>
          <w:color w:val="2E5395"/>
          <w:sz w:val="32"/>
        </w:rPr>
        <w:t>Theo Murphy Initiative (Australia) 202</w:t>
      </w:r>
      <w:r w:rsidR="004E3D61">
        <w:rPr>
          <w:rFonts w:ascii="Calibri Light"/>
          <w:b/>
          <w:bCs/>
          <w:color w:val="2E5395"/>
          <w:sz w:val="32"/>
        </w:rPr>
        <w:t>2</w:t>
      </w:r>
      <w:r w:rsidR="001924BB">
        <w:rPr>
          <w:rFonts w:ascii="Calibri Light"/>
          <w:b/>
          <w:bCs/>
          <w:color w:val="2E5395"/>
          <w:sz w:val="32"/>
        </w:rPr>
        <w:t>-2</w:t>
      </w:r>
      <w:r w:rsidR="00375D4A">
        <w:rPr>
          <w:rFonts w:ascii="Calibri Light"/>
          <w:b/>
          <w:bCs/>
          <w:color w:val="2E5395"/>
          <w:sz w:val="32"/>
        </w:rPr>
        <w:t>3 Round</w:t>
      </w:r>
    </w:p>
    <w:p w:rsidR="00337541" w:rsidRDefault="00620C15" w14:paraId="185152CD" w14:textId="6CC1C937">
      <w:pPr>
        <w:spacing w:before="82" w:line="408" w:lineRule="auto"/>
        <w:ind w:left="100" w:right="2801"/>
        <w:rPr>
          <w:rFonts w:ascii="Calibri Light"/>
          <w:sz w:val="32"/>
        </w:rPr>
      </w:pPr>
      <w:r>
        <w:rPr>
          <w:rFonts w:ascii="Calibri Light"/>
          <w:color w:val="2E5395"/>
          <w:sz w:val="32"/>
        </w:rPr>
        <w:t>FAQ and tips for activity proposals</w:t>
      </w:r>
    </w:p>
    <w:p w:rsidR="00337541" w:rsidRDefault="00620C15" w14:paraId="185152CE" w14:textId="77777777">
      <w:pPr>
        <w:pStyle w:val="Heading1"/>
        <w:spacing w:line="264" w:lineRule="exact"/>
      </w:pPr>
      <w:r>
        <w:t>Am I eligible to propose an activity?</w:t>
      </w:r>
    </w:p>
    <w:p w:rsidR="00337541" w:rsidRDefault="00620C15" w14:paraId="185152CF" w14:textId="77777777">
      <w:pPr>
        <w:pStyle w:val="BodyText"/>
        <w:spacing w:before="120" w:line="259" w:lineRule="auto"/>
        <w:ind w:right="115"/>
      </w:pPr>
      <w:r>
        <w:t xml:space="preserve">All proposals must include at least 1 EMCR Forum member on the organising committee. </w:t>
      </w:r>
      <w:hyperlink r:id="rId8">
        <w:r>
          <w:rPr>
            <w:color w:val="0462C1"/>
            <w:u w:val="single" w:color="0462C1"/>
          </w:rPr>
          <w:t>Becoming a</w:t>
        </w:r>
      </w:hyperlink>
      <w:r>
        <w:rPr>
          <w:color w:val="0462C1"/>
          <w:u w:val="single" w:color="0462C1"/>
        </w:rPr>
        <w:t xml:space="preserve"> </w:t>
      </w:r>
      <w:hyperlink r:id="rId9">
        <w:r>
          <w:rPr>
            <w:color w:val="0462C1"/>
            <w:u w:val="single" w:color="0462C1"/>
          </w:rPr>
          <w:t xml:space="preserve">member of the EMCR Forum </w:t>
        </w:r>
      </w:hyperlink>
      <w:r>
        <w:t>is free and can be done online. The Academy defines EMCRs as researchers up to 15 years post-PhD excluding career breaks, irrespective of their type of appointment or type of employer. If you are not an EMCR but wish to submit a proposal, please find an EMCR to work with you.</w:t>
      </w:r>
    </w:p>
    <w:p w:rsidR="00337541" w:rsidRDefault="00337541" w14:paraId="185152D0" w14:textId="77777777">
      <w:pPr>
        <w:pStyle w:val="BodyText"/>
        <w:spacing w:before="8"/>
        <w:ind w:left="0"/>
        <w:rPr>
          <w:sz w:val="19"/>
        </w:rPr>
      </w:pPr>
    </w:p>
    <w:p w:rsidR="00337541" w:rsidRDefault="00620C15" w14:paraId="185152D1" w14:textId="77777777">
      <w:pPr>
        <w:pStyle w:val="Heading1"/>
      </w:pPr>
      <w:r>
        <w:t>Who should be on my organising committee?</w:t>
      </w:r>
    </w:p>
    <w:p w:rsidR="00337541" w:rsidRDefault="00620C15" w14:paraId="185152D2" w14:textId="77777777">
      <w:pPr>
        <w:pStyle w:val="BodyText"/>
        <w:spacing w:before="120" w:line="259" w:lineRule="auto"/>
        <w:ind w:right="106"/>
      </w:pPr>
      <w:r>
        <w:t>The committee needs to be a group of people committed to contributing to the success of your activity and all members should fit the needs of your activity. For example, if you want to run an interdisciplinary conference bringing together engineers with biologists, then your committee should include both engineers and biologists.</w:t>
      </w:r>
    </w:p>
    <w:p w:rsidR="00337541" w:rsidP="001C16F9" w:rsidRDefault="00620C15" w14:paraId="185152D5" w14:textId="7018F24D">
      <w:pPr>
        <w:pStyle w:val="BodyText"/>
        <w:spacing w:before="160" w:line="259" w:lineRule="auto"/>
        <w:ind w:right="181"/>
      </w:pPr>
      <w:r>
        <w:t>While EMCR involvement is strongly encouraged, and at least one committee member must be an EMCR, other the committee members can be researchers at any part of their career. The committee can include non-researchers where relevant.</w:t>
      </w:r>
      <w:r w:rsidR="001C16F9">
        <w:t xml:space="preserve"> </w:t>
      </w:r>
      <w:r>
        <w:t xml:space="preserve">Please consider the principles of equity, </w:t>
      </w:r>
      <w:r w:rsidR="00F84043">
        <w:t>diversity,</w:t>
      </w:r>
      <w:r>
        <w:t xml:space="preserve"> and inclusion in the composition of your committee.</w:t>
      </w:r>
    </w:p>
    <w:p w:rsidR="00337541" w:rsidRDefault="00337541" w14:paraId="185152D6" w14:textId="77777777">
      <w:pPr>
        <w:pStyle w:val="BodyText"/>
        <w:spacing w:before="8"/>
        <w:ind w:left="0"/>
        <w:rPr>
          <w:sz w:val="19"/>
        </w:rPr>
      </w:pPr>
    </w:p>
    <w:p w:rsidR="00337541" w:rsidRDefault="00620C15" w14:paraId="185152D7" w14:textId="77777777">
      <w:pPr>
        <w:pStyle w:val="Heading1"/>
      </w:pPr>
      <w:r>
        <w:t>How am I involved after the proposal?</w:t>
      </w:r>
    </w:p>
    <w:p w:rsidR="001924BB" w:rsidRDefault="00620C15" w14:paraId="5CAA8BAB" w14:textId="77777777">
      <w:pPr>
        <w:pStyle w:val="BodyText"/>
        <w:spacing w:before="120" w:line="259" w:lineRule="auto"/>
        <w:ind w:right="204"/>
      </w:pPr>
      <w:r>
        <w:t xml:space="preserve">It is expected that the activity’s organising committee will work closely with the Academy’s Secretariat to organise and deliver the activity. Typically, the organising committee provides the </w:t>
      </w:r>
      <w:r w:rsidRPr="00AC4999">
        <w:t>scientific expertise and knowledge of the sector and/or discipline required for the activity</w:t>
      </w:r>
      <w:r w:rsidRPr="00AC4999" w:rsidR="00AC4999">
        <w:t xml:space="preserve"> and </w:t>
      </w:r>
      <w:r w:rsidRPr="00AC4999" w:rsidR="00AC4999">
        <w:rPr>
          <w:rStyle w:val="cf01"/>
          <w:rFonts w:asciiTheme="minorHAnsi" w:hAnsiTheme="minorHAnsi" w:cstheme="minorHAnsi"/>
          <w:sz w:val="22"/>
          <w:szCs w:val="22"/>
        </w:rPr>
        <w:t>depending on which funding stream you are applying for</w:t>
      </w:r>
      <w:r w:rsidRPr="00AC4999">
        <w:rPr>
          <w:rFonts w:asciiTheme="minorHAnsi" w:hAnsiTheme="minorHAnsi" w:cstheme="minorHAnsi"/>
        </w:rPr>
        <w:t xml:space="preserve"> the Academy</w:t>
      </w:r>
      <w:r w:rsidRPr="00AC4999" w:rsidR="00AC4999">
        <w:rPr>
          <w:rFonts w:asciiTheme="minorHAnsi" w:hAnsiTheme="minorHAnsi" w:cstheme="minorHAnsi"/>
        </w:rPr>
        <w:t xml:space="preserve"> can</w:t>
      </w:r>
      <w:r w:rsidRPr="00AC4999">
        <w:rPr>
          <w:rFonts w:asciiTheme="minorHAnsi" w:hAnsiTheme="minorHAnsi" w:cstheme="minorHAnsi"/>
        </w:rPr>
        <w:t xml:space="preserve"> provide expertise including project management, event organisation, registration and application management, creation of a website for the event, design, editing and publications, and communications/media support. </w:t>
      </w:r>
      <w:r w:rsidRPr="00AC4999" w:rsidR="00AC4999">
        <w:rPr>
          <w:rFonts w:asciiTheme="minorHAnsi" w:hAnsiTheme="minorHAnsi" w:cstheme="minorHAnsi"/>
        </w:rPr>
        <w:t>For ‘Flagship’ and certain ‘Amplify’ funding streams, t</w:t>
      </w:r>
      <w:r w:rsidRPr="00AC4999">
        <w:rPr>
          <w:rFonts w:asciiTheme="minorHAnsi" w:hAnsiTheme="minorHAnsi" w:cstheme="minorHAnsi"/>
        </w:rPr>
        <w:t>he Academy’s Secretariat will provide guidance and</w:t>
      </w:r>
      <w:r w:rsidRPr="00AC4999">
        <w:t xml:space="preserve"> advice to the committee regarding scope, </w:t>
      </w:r>
      <w:r w:rsidRPr="00AC4999" w:rsidR="00AC4999">
        <w:t>deliverability,</w:t>
      </w:r>
      <w:r w:rsidRPr="00AC4999">
        <w:t xml:space="preserve"> and project management. </w:t>
      </w:r>
    </w:p>
    <w:p w:rsidR="00337541" w:rsidRDefault="001924BB" w14:paraId="185152D8" w14:textId="4A795552">
      <w:pPr>
        <w:pStyle w:val="BodyText"/>
        <w:spacing w:before="120" w:line="259" w:lineRule="auto"/>
        <w:ind w:right="204"/>
      </w:pPr>
      <w:r>
        <w:t>The Academy Secretariat</w:t>
      </w:r>
      <w:r w:rsidRPr="00AC4999" w:rsidR="00620C15">
        <w:t xml:space="preserve"> will be responsible for managing the financial resources and ensuring that the goals of the activity are delivered to a high quality.</w:t>
      </w:r>
    </w:p>
    <w:p w:rsidR="00C26A08" w:rsidRDefault="00C26A08" w14:paraId="50BE5E7B" w14:textId="323B8620">
      <w:pPr>
        <w:pStyle w:val="BodyText"/>
        <w:spacing w:before="120" w:line="259" w:lineRule="auto"/>
        <w:ind w:right="204"/>
      </w:pPr>
      <w:r>
        <w:t>All committee members must agree to seek additional funding to support the activity and provide their time as in-kind support (not to be included as confirmed or prospective support on the application).</w:t>
      </w:r>
    </w:p>
    <w:p w:rsidR="00337541" w:rsidRDefault="00337541" w14:paraId="185152D9" w14:textId="77777777">
      <w:pPr>
        <w:pStyle w:val="BodyText"/>
        <w:spacing w:before="6"/>
        <w:ind w:left="0"/>
        <w:rPr>
          <w:sz w:val="19"/>
        </w:rPr>
      </w:pPr>
    </w:p>
    <w:p w:rsidR="00337541" w:rsidRDefault="00620C15" w14:paraId="185152DA" w14:textId="77777777">
      <w:pPr>
        <w:pStyle w:val="Heading1"/>
      </w:pPr>
      <w:r>
        <w:t>Can existing groups propose an activity?</w:t>
      </w:r>
    </w:p>
    <w:p w:rsidR="00337541" w:rsidRDefault="00620C15" w14:paraId="185152DB" w14:textId="44D733DC">
      <w:pPr>
        <w:pStyle w:val="BodyText"/>
        <w:spacing w:before="122" w:line="259" w:lineRule="auto"/>
        <w:ind w:right="170"/>
      </w:pPr>
      <w:r>
        <w:t xml:space="preserve">Yes. If you are a member of the EMCR group at your university or your scientific society or another group, you are welcome to propose an activity using this group as part or </w:t>
      </w:r>
      <w:r w:rsidR="00AC4999">
        <w:t>all</w:t>
      </w:r>
      <w:r>
        <w:t xml:space="preserve"> your organising committee. Please note that reach of the activity is part of the selection criteria, and activities which are restricted to EMCRs at a single university or organisation will not be funded.</w:t>
      </w:r>
    </w:p>
    <w:p w:rsidR="00337541" w:rsidRDefault="00337541" w14:paraId="185152DC" w14:textId="77777777">
      <w:pPr>
        <w:pStyle w:val="BodyText"/>
        <w:spacing w:before="5"/>
        <w:ind w:left="0"/>
        <w:rPr>
          <w:sz w:val="19"/>
        </w:rPr>
      </w:pPr>
    </w:p>
    <w:p w:rsidR="00337541" w:rsidRDefault="00620C15" w14:paraId="185152DD" w14:textId="77777777">
      <w:pPr>
        <w:pStyle w:val="Heading1"/>
      </w:pPr>
      <w:r>
        <w:t>I have an idea, but I don’t have all the details worked out. Can I still submit a proposal?</w:t>
      </w:r>
    </w:p>
    <w:p w:rsidR="00337541" w:rsidRDefault="00620C15" w14:paraId="185152DE" w14:textId="77777777">
      <w:pPr>
        <w:pStyle w:val="BodyText"/>
        <w:spacing w:before="119"/>
      </w:pPr>
      <w:r>
        <w:t>Yes. The Secretariat will work with the committees from all the successful proposals to deliver the</w:t>
      </w:r>
    </w:p>
    <w:p w:rsidR="00337541" w:rsidRDefault="00337541" w14:paraId="185152DF" w14:textId="77777777">
      <w:pPr>
        <w:sectPr w:rsidR="00337541">
          <w:footerReference w:type="default" r:id="rId10"/>
          <w:type w:val="continuous"/>
          <w:pgSz w:w="11910" w:h="16840" w:orient="portrait"/>
          <w:pgMar w:top="1580" w:right="1320" w:bottom="1200" w:left="1340" w:header="720" w:footer="1000" w:gutter="0"/>
          <w:pgNumType w:start="1"/>
          <w:cols w:space="720"/>
        </w:sectPr>
      </w:pPr>
    </w:p>
    <w:p w:rsidR="00337541" w:rsidRDefault="00620C15" w14:paraId="185152E0" w14:textId="77777777">
      <w:pPr>
        <w:pStyle w:val="BodyText"/>
        <w:spacing w:before="41" w:line="259" w:lineRule="auto"/>
        <w:ind w:right="251"/>
      </w:pPr>
      <w:r>
        <w:lastRenderedPageBreak/>
        <w:t>best possible activity based on their proposal. This means that some details of the final activity may be different to what was originally proposed. We are looking for great ideas from which we can deliver fantastic outcomes for EMCRs, and we will work with you to sort out the details.</w:t>
      </w:r>
    </w:p>
    <w:p w:rsidR="00337541" w:rsidRDefault="00E022ED" w14:paraId="185152E1" w14:textId="2CC54C4A">
      <w:pPr>
        <w:pStyle w:val="BodyText"/>
        <w:spacing w:before="159" w:line="259" w:lineRule="auto"/>
        <w:ind w:right="126"/>
      </w:pPr>
      <w:r>
        <w:t>Please</w:t>
      </w:r>
      <w:r w:rsidR="00620C15">
        <w:t xml:space="preserve"> make sure your application includes enough detail in the </w:t>
      </w:r>
      <w:r w:rsidR="00620C15">
        <w:rPr>
          <w:i/>
        </w:rPr>
        <w:t xml:space="preserve">description of activity </w:t>
      </w:r>
      <w:r w:rsidR="00620C15">
        <w:t xml:space="preserve">section for the EMCR Committee of Council to </w:t>
      </w:r>
      <w:r w:rsidR="00354EE7">
        <w:t xml:space="preserve">clearly </w:t>
      </w:r>
      <w:r w:rsidR="00620C15">
        <w:t>understand what you are proposing.</w:t>
      </w:r>
    </w:p>
    <w:p w:rsidR="00337541" w:rsidRDefault="00337541" w14:paraId="185152E2" w14:textId="77777777">
      <w:pPr>
        <w:pStyle w:val="BodyText"/>
        <w:spacing w:before="8"/>
        <w:ind w:left="0"/>
        <w:rPr>
          <w:sz w:val="19"/>
        </w:rPr>
      </w:pPr>
    </w:p>
    <w:p w:rsidR="00337541" w:rsidRDefault="00620C15" w14:paraId="185152E3" w14:textId="77777777">
      <w:pPr>
        <w:pStyle w:val="Heading1"/>
      </w:pPr>
      <w:r>
        <w:t>What type of support is available?</w:t>
      </w:r>
    </w:p>
    <w:p w:rsidR="00337541" w:rsidP="00223C09" w:rsidRDefault="00E46F44" w14:paraId="185152E4" w14:textId="3FC8EBDF">
      <w:pPr>
        <w:pStyle w:val="BodyText"/>
        <w:spacing w:before="119" w:line="259" w:lineRule="auto"/>
        <w:ind w:right="324"/>
      </w:pPr>
      <w:r w:rsidR="00E46F44">
        <w:rPr/>
        <w:t xml:space="preserve">Depending on </w:t>
      </w:r>
      <w:r w:rsidR="00223C09">
        <w:rPr/>
        <w:t>which funding stream you apply for, s</w:t>
      </w:r>
      <w:r w:rsidR="00620C15">
        <w:rPr/>
        <w:t xml:space="preserve">uccessful projects receive the support of the Secretariat to deliver the goals of their project. The Secretariat will work with the </w:t>
      </w:r>
      <w:r w:rsidR="00620C15">
        <w:rPr/>
        <w:t>organising</w:t>
      </w:r>
      <w:r w:rsidR="00620C15">
        <w:rPr/>
        <w:t xml:space="preserve"> committee, connecting them where appropriate to other Academy staff, to deliver the best possible activity based on the proposal. The Academy </w:t>
      </w:r>
      <w:r w:rsidR="008E1C2F">
        <w:rPr/>
        <w:t>can</w:t>
      </w:r>
      <w:r w:rsidR="00620C15">
        <w:rPr/>
        <w:t xml:space="preserve"> provide expertise in (but not limited to) project management, event </w:t>
      </w:r>
      <w:r w:rsidR="00620C15">
        <w:rPr/>
        <w:t>organisation</w:t>
      </w:r>
      <w:r w:rsidR="00620C15">
        <w:rPr/>
        <w:t>, registration and application management, creation of a website for the event, design, editing and publications, and communications/media support.</w:t>
      </w:r>
      <w:r w:rsidR="00223C09">
        <w:rPr/>
        <w:t xml:space="preserve"> Through the application process if </w:t>
      </w:r>
      <w:r w:rsidR="00223C09">
        <w:rPr/>
        <w:t>organisations</w:t>
      </w:r>
      <w:r w:rsidR="00223C09">
        <w:rPr/>
        <w:t xml:space="preserve"> are unable to demonstrate </w:t>
      </w:r>
      <w:r w:rsidR="0034706B">
        <w:rPr/>
        <w:t xml:space="preserve">the successful delivery of </w:t>
      </w:r>
      <w:r w:rsidR="00274E0B">
        <w:rPr/>
        <w:t>activities or</w:t>
      </w:r>
      <w:r w:rsidR="0034706B">
        <w:rPr/>
        <w:t xml:space="preserve"> require additional assistance outside the scope of the </w:t>
      </w:r>
      <w:hyperlink r:id="R6bb3ccbe462c405f">
        <w:r w:rsidRPr="5368DEF2" w:rsidR="0034706B">
          <w:rPr>
            <w:rStyle w:val="Hyperlink"/>
          </w:rPr>
          <w:t>Theo Murphy Initiative (Australia) Guidelines</w:t>
        </w:r>
      </w:hyperlink>
      <w:r w:rsidR="0034706B">
        <w:rPr/>
        <w:t xml:space="preserve">, </w:t>
      </w:r>
      <w:r w:rsidR="00274E0B">
        <w:rPr/>
        <w:t xml:space="preserve">the Academy can recommend or offer support services for </w:t>
      </w:r>
      <w:r w:rsidR="001924BB">
        <w:rPr/>
        <w:t xml:space="preserve">a </w:t>
      </w:r>
      <w:r w:rsidR="00274E0B">
        <w:rPr/>
        <w:t xml:space="preserve">fee. </w:t>
      </w:r>
    </w:p>
    <w:p w:rsidR="00337541" w:rsidRDefault="00620C15" w14:paraId="185152E5" w14:textId="03670260">
      <w:pPr>
        <w:pStyle w:val="BodyText"/>
        <w:spacing w:before="158" w:line="259" w:lineRule="auto"/>
        <w:ind w:right="650"/>
      </w:pPr>
      <w:r>
        <w:t xml:space="preserve">The Academy’s Secretariat will provide guidance and advice to the committee regarding scope, </w:t>
      </w:r>
      <w:r w:rsidR="008E1C2F">
        <w:t>deliverability,</w:t>
      </w:r>
      <w:r>
        <w:t xml:space="preserve"> and project management. The Secretariat will be responsible for managing the financial resources and ensuring that the goals of the activity are delivered to a high quality.</w:t>
      </w:r>
    </w:p>
    <w:p w:rsidR="00337541" w:rsidRDefault="00620C15" w14:paraId="185152E6" w14:textId="77777777">
      <w:pPr>
        <w:pStyle w:val="Heading1"/>
        <w:spacing w:before="158"/>
      </w:pPr>
      <w:r>
        <w:t>How do I select the type of activity I want to deliver?</w:t>
      </w:r>
    </w:p>
    <w:p w:rsidR="00337541" w:rsidRDefault="00620C15" w14:paraId="185152E7" w14:textId="2E5F49A1">
      <w:pPr>
        <w:pStyle w:val="BodyText"/>
        <w:spacing w:before="182" w:line="259" w:lineRule="auto"/>
        <w:ind w:right="275"/>
      </w:pPr>
      <w:r>
        <w:t>Applicants are encouraged to read the description and examples of the activity formats that are eligible to receive support from the Theo Murphy Initiative (Australia) in the 202</w:t>
      </w:r>
      <w:r w:rsidR="00274E0B">
        <w:t>2</w:t>
      </w:r>
      <w:r>
        <w:t>-202</w:t>
      </w:r>
      <w:r w:rsidR="00274E0B">
        <w:t>3</w:t>
      </w:r>
      <w:r>
        <w:t xml:space="preserve"> round. This information has been designed to help applicants select the type of proposal they should submit in the application page.</w:t>
      </w:r>
    </w:p>
    <w:p w:rsidR="00337541" w:rsidRDefault="00620C15" w14:paraId="185152E8" w14:textId="77777777">
      <w:pPr>
        <w:pStyle w:val="BodyText"/>
        <w:spacing w:before="158" w:line="259" w:lineRule="auto"/>
        <w:ind w:right="962"/>
      </w:pPr>
      <w:r>
        <w:t>The activity format and objectives will help the Secretariat and EMCR Committee of Council determine the feasibility and capacity to deliver the proposed activity within the budget.</w:t>
      </w:r>
    </w:p>
    <w:p w:rsidR="00337541" w:rsidRDefault="00620C15" w14:paraId="185152E9" w14:textId="77777777">
      <w:pPr>
        <w:pStyle w:val="Heading1"/>
        <w:spacing w:before="160"/>
      </w:pPr>
      <w:r>
        <w:t>Does the Theo Murphy Initiative provide full funding?</w:t>
      </w:r>
    </w:p>
    <w:p w:rsidR="00337541" w:rsidRDefault="00337541" w14:paraId="185152EA" w14:textId="77777777">
      <w:pPr>
        <w:pStyle w:val="BodyText"/>
        <w:spacing w:before="11"/>
        <w:ind w:left="0"/>
        <w:rPr>
          <w:b/>
          <w:sz w:val="21"/>
        </w:rPr>
      </w:pPr>
    </w:p>
    <w:p w:rsidR="00337541" w:rsidP="001924BB" w:rsidRDefault="001924BB" w14:paraId="185152EC" w14:textId="32C8B533">
      <w:pPr>
        <w:pStyle w:val="BodyText"/>
        <w:spacing w:before="1" w:line="268" w:lineRule="auto"/>
        <w:ind w:right="339"/>
        <w:jc w:val="both"/>
      </w:pPr>
      <w:r>
        <w:t xml:space="preserve">Funds from the Theo Murphy (Australia) will not fully fund ‘Flagship’ and ‘Amplify’ activities. </w:t>
      </w:r>
      <w:r w:rsidR="00620C15">
        <w:t>The main benefit of running an activity through the Theo Murphy Initiative</w:t>
      </w:r>
      <w:r>
        <w:t xml:space="preserve"> (Australia)</w:t>
      </w:r>
      <w:r w:rsidR="00620C15">
        <w:t xml:space="preserve"> is the support provided by the Australian Academy of Science to deliver the activity to a high quality. Some funding for the activity will also be provided through the Theo Murphy (Australia) Fund (support ranges</w:t>
      </w:r>
      <w:r w:rsidR="007C711F">
        <w:t xml:space="preserve"> </w:t>
      </w:r>
      <w:r>
        <w:t>up to</w:t>
      </w:r>
      <w:r w:rsidR="002E6493">
        <w:t xml:space="preserve"> 5,000 for </w:t>
      </w:r>
      <w:r>
        <w:t>‘</w:t>
      </w:r>
      <w:r w:rsidR="002E6493">
        <w:t>Participation Support</w:t>
      </w:r>
      <w:r>
        <w:t>’</w:t>
      </w:r>
      <w:r w:rsidR="002E6493">
        <w:t xml:space="preserve"> funding and </w:t>
      </w:r>
      <w:r w:rsidR="00620C15">
        <w:t xml:space="preserve">$15,000- 50,000 </w:t>
      </w:r>
      <w:r w:rsidR="002E6493">
        <w:t xml:space="preserve">for </w:t>
      </w:r>
      <w:r>
        <w:t>‘</w:t>
      </w:r>
      <w:r w:rsidR="002E6493">
        <w:t>Flagship</w:t>
      </w:r>
      <w:r>
        <w:t>’</w:t>
      </w:r>
      <w:r w:rsidR="002E6493">
        <w:t xml:space="preserve"> and </w:t>
      </w:r>
      <w:r>
        <w:t>‘</w:t>
      </w:r>
      <w:r w:rsidR="002E6493">
        <w:t>Amplify</w:t>
      </w:r>
      <w:r>
        <w:t>’</w:t>
      </w:r>
      <w:r w:rsidR="009660C2">
        <w:t xml:space="preserve">, </w:t>
      </w:r>
      <w:r w:rsidR="00620C15">
        <w:t xml:space="preserve">per activity). Additional funds </w:t>
      </w:r>
      <w:r w:rsidR="00620C15">
        <w:rPr>
          <w:b/>
          <w:u w:val="single"/>
        </w:rPr>
        <w:t xml:space="preserve">must </w:t>
      </w:r>
      <w:r w:rsidR="00620C15">
        <w:t>also be raised to contribute to the cost of the activity</w:t>
      </w:r>
      <w:r w:rsidR="009660C2">
        <w:t xml:space="preserve"> for Flagship stream funding</w:t>
      </w:r>
      <w:r w:rsidR="00620C15">
        <w:t xml:space="preserve">. It is expected that all committee members will be actively involved in seeking additional funding to support the activity. </w:t>
      </w:r>
    </w:p>
    <w:p w:rsidR="00337541" w:rsidRDefault="00337541" w14:paraId="185152ED" w14:textId="77777777">
      <w:pPr>
        <w:pStyle w:val="BodyText"/>
        <w:spacing w:before="7"/>
        <w:ind w:left="0"/>
        <w:rPr>
          <w:sz w:val="19"/>
        </w:rPr>
      </w:pPr>
    </w:p>
    <w:p w:rsidR="00337541" w:rsidRDefault="00620C15" w14:paraId="185152EE" w14:textId="5D49726E">
      <w:pPr>
        <w:pStyle w:val="BodyText"/>
        <w:spacing w:before="1" w:line="268" w:lineRule="auto"/>
        <w:ind w:right="594"/>
      </w:pPr>
      <w:r>
        <w:t xml:space="preserve">The Secretariat will manage all financial resources for each activity. They will work with the organising committee to ensure the best activity based on their proposal is delivered within the available budget, including both Theo Murphy (Australia) </w:t>
      </w:r>
      <w:r w:rsidR="001924BB">
        <w:t>f</w:t>
      </w:r>
      <w:r>
        <w:t>unds and the additional fundraised amounts.</w:t>
      </w:r>
    </w:p>
    <w:p w:rsidR="00337541" w:rsidRDefault="00620C15" w14:paraId="185152EF" w14:textId="77777777">
      <w:pPr>
        <w:pStyle w:val="Heading1"/>
        <w:spacing w:before="193"/>
      </w:pPr>
      <w:r>
        <w:t>What can be funded through the Theo Murphy Initiative?</w:t>
      </w:r>
    </w:p>
    <w:p w:rsidR="00337541" w:rsidRDefault="00620C15" w14:paraId="185152F0" w14:textId="325117FB">
      <w:pPr>
        <w:pStyle w:val="BodyText"/>
        <w:spacing w:before="119"/>
        <w:ind w:right="1191"/>
      </w:pPr>
      <w:r>
        <w:t>Funding is available to deliver selected activities</w:t>
      </w:r>
      <w:r w:rsidR="00CD43CF">
        <w:t>, ‘Flagship’ and ‘Amplify’ streams,</w:t>
      </w:r>
      <w:r>
        <w:t xml:space="preserve"> from the eligible formats included in the </w:t>
      </w:r>
      <w:hyperlink w:history="1" r:id="rId12">
        <w:r w:rsidRPr="001924BB">
          <w:rPr>
            <w:rStyle w:val="Hyperlink"/>
          </w:rPr>
          <w:t>information page</w:t>
        </w:r>
      </w:hyperlink>
      <w:r>
        <w:t xml:space="preserve">. Theo Murphy Initiative (Australia) </w:t>
      </w:r>
      <w:r>
        <w:lastRenderedPageBreak/>
        <w:t>will not fund:</w:t>
      </w:r>
    </w:p>
    <w:p w:rsidR="00337541" w:rsidRDefault="00620C15" w14:paraId="185152F1" w14:textId="77777777">
      <w:pPr>
        <w:pStyle w:val="ListParagraph"/>
        <w:numPr>
          <w:ilvl w:val="0"/>
          <w:numId w:val="1"/>
        </w:numPr>
        <w:tabs>
          <w:tab w:val="left" w:pos="820"/>
          <w:tab w:val="left" w:pos="821"/>
        </w:tabs>
        <w:spacing w:before="120" w:line="279" w:lineRule="exact"/>
        <w:ind w:hanging="406"/>
      </w:pPr>
      <w:r>
        <w:t>activities that are commercial or</w:t>
      </w:r>
      <w:r>
        <w:rPr>
          <w:spacing w:val="-9"/>
        </w:rPr>
        <w:t xml:space="preserve"> </w:t>
      </w:r>
      <w:r>
        <w:t>for-profit</w:t>
      </w:r>
    </w:p>
    <w:p w:rsidR="00F47474" w:rsidP="00F47474" w:rsidRDefault="00620C15" w14:paraId="6F79186A" w14:textId="77777777">
      <w:pPr>
        <w:pStyle w:val="ListParagraph"/>
        <w:numPr>
          <w:ilvl w:val="0"/>
          <w:numId w:val="1"/>
        </w:numPr>
        <w:tabs>
          <w:tab w:val="left" w:pos="820"/>
          <w:tab w:val="left" w:pos="821"/>
        </w:tabs>
        <w:spacing w:line="279" w:lineRule="exact"/>
        <w:ind w:left="820"/>
      </w:pPr>
      <w:r>
        <w:t>research</w:t>
      </w:r>
      <w:r>
        <w:rPr>
          <w:spacing w:val="-2"/>
        </w:rPr>
        <w:t xml:space="preserve"> </w:t>
      </w:r>
      <w:r>
        <w:t>projec</w:t>
      </w:r>
      <w:r w:rsidR="00F47474">
        <w:t>t</w:t>
      </w:r>
    </w:p>
    <w:p w:rsidR="00337541" w:rsidP="00F47474" w:rsidRDefault="00F47474" w14:paraId="185152F4" w14:textId="29BB4169">
      <w:pPr>
        <w:pStyle w:val="ListParagraph"/>
        <w:numPr>
          <w:ilvl w:val="0"/>
          <w:numId w:val="1"/>
        </w:numPr>
        <w:tabs>
          <w:tab w:val="left" w:pos="820"/>
          <w:tab w:val="left" w:pos="821"/>
        </w:tabs>
        <w:spacing w:line="279" w:lineRule="exact"/>
        <w:ind w:left="820"/>
      </w:pPr>
      <w:r>
        <w:t>act</w:t>
      </w:r>
      <w:r w:rsidR="00620C15">
        <w:t>ivities that don’t benefit early- and mid-career</w:t>
      </w:r>
      <w:r w:rsidRPr="00F84043" w:rsidR="00620C15">
        <w:rPr>
          <w:spacing w:val="-13"/>
        </w:rPr>
        <w:t xml:space="preserve"> </w:t>
      </w:r>
      <w:r w:rsidR="00620C15">
        <w:t>researchers</w:t>
      </w:r>
    </w:p>
    <w:p w:rsidR="00337541" w:rsidRDefault="00620C15" w14:paraId="185152F5" w14:textId="77777777">
      <w:pPr>
        <w:pStyle w:val="ListParagraph"/>
        <w:numPr>
          <w:ilvl w:val="0"/>
          <w:numId w:val="1"/>
        </w:numPr>
        <w:tabs>
          <w:tab w:val="left" w:pos="820"/>
          <w:tab w:val="left" w:pos="821"/>
        </w:tabs>
        <w:ind w:left="820"/>
      </w:pPr>
      <w:r>
        <w:t>activities that are highly likely to be held without support from the Theo Murphy</w:t>
      </w:r>
      <w:r>
        <w:rPr>
          <w:spacing w:val="-23"/>
        </w:rPr>
        <w:t xml:space="preserve"> </w:t>
      </w:r>
      <w:r>
        <w:t>Initiative</w:t>
      </w:r>
    </w:p>
    <w:p w:rsidR="00337541" w:rsidRDefault="00620C15" w14:paraId="185152F6" w14:textId="77777777">
      <w:pPr>
        <w:pStyle w:val="Heading1"/>
        <w:spacing w:before="239"/>
      </w:pPr>
      <w:r>
        <w:t>How do I put together a project budget?</w:t>
      </w:r>
    </w:p>
    <w:p w:rsidR="00337541" w:rsidRDefault="00620C15" w14:paraId="185152F7" w14:textId="01C4CF76">
      <w:pPr>
        <w:pStyle w:val="BodyText"/>
        <w:spacing w:before="117" w:line="259" w:lineRule="auto"/>
        <w:ind w:right="407"/>
      </w:pPr>
      <w:r w:rsidR="00620C15">
        <w:rPr/>
        <w:t xml:space="preserve">Your budget should briefly list all the anticipated expenses of your activity. A </w:t>
      </w:r>
      <w:hyperlink r:id="R01fe846566994db2">
        <w:r w:rsidRPr="5368DEF2" w:rsidR="00620C15">
          <w:rPr>
            <w:rStyle w:val="Hyperlink"/>
          </w:rPr>
          <w:t>budget template</w:t>
        </w:r>
      </w:hyperlink>
      <w:r w:rsidR="00620C15">
        <w:rPr/>
        <w:t xml:space="preserve"> is available </w:t>
      </w:r>
      <w:r w:rsidR="00620C15">
        <w:rPr/>
        <w:t>in</w:t>
      </w:r>
      <w:r w:rsidR="00620C15">
        <w:rPr/>
        <w:t xml:space="preserve"> the info page to help you prepare your expenses. Submit this template as part of your application form to let us know your estimated expenses.</w:t>
      </w:r>
    </w:p>
    <w:p w:rsidR="00337541" w:rsidRDefault="00620C15" w14:paraId="185152F8" w14:textId="77777777">
      <w:pPr>
        <w:pStyle w:val="BodyText"/>
        <w:spacing w:before="158" w:line="259" w:lineRule="auto"/>
        <w:ind w:right="893"/>
      </w:pPr>
      <w:r>
        <w:t>Please try to include all the costs associated with your activity to provide the most accurate representation of budget. The following are examples of eligible direct costs associated with activities that can be supported:</w:t>
      </w:r>
    </w:p>
    <w:p w:rsidR="00337541" w:rsidRDefault="00620C15" w14:paraId="185152F9" w14:textId="77777777">
      <w:pPr>
        <w:pStyle w:val="ListParagraph"/>
        <w:numPr>
          <w:ilvl w:val="0"/>
          <w:numId w:val="1"/>
        </w:numPr>
        <w:tabs>
          <w:tab w:val="left" w:pos="820"/>
          <w:tab w:val="left" w:pos="821"/>
        </w:tabs>
        <w:spacing w:before="158"/>
        <w:ind w:left="820"/>
      </w:pPr>
      <w:r>
        <w:t>Venue</w:t>
      </w:r>
      <w:r>
        <w:rPr>
          <w:spacing w:val="-2"/>
        </w:rPr>
        <w:t xml:space="preserve"> </w:t>
      </w:r>
      <w:r>
        <w:t>hire</w:t>
      </w:r>
    </w:p>
    <w:p w:rsidR="00337541" w:rsidRDefault="00620C15" w14:paraId="185152FA" w14:textId="77777777">
      <w:pPr>
        <w:pStyle w:val="ListParagraph"/>
        <w:numPr>
          <w:ilvl w:val="0"/>
          <w:numId w:val="1"/>
        </w:numPr>
        <w:tabs>
          <w:tab w:val="left" w:pos="820"/>
          <w:tab w:val="left" w:pos="821"/>
        </w:tabs>
        <w:spacing w:before="21"/>
        <w:ind w:left="820"/>
      </w:pPr>
      <w:r>
        <w:t>Catering</w:t>
      </w:r>
    </w:p>
    <w:p w:rsidR="00337541" w:rsidRDefault="00620C15" w14:paraId="185152FB" w14:textId="77777777">
      <w:pPr>
        <w:pStyle w:val="ListParagraph"/>
        <w:numPr>
          <w:ilvl w:val="0"/>
          <w:numId w:val="1"/>
        </w:numPr>
        <w:tabs>
          <w:tab w:val="left" w:pos="820"/>
          <w:tab w:val="left" w:pos="821"/>
        </w:tabs>
        <w:spacing w:before="21"/>
        <w:ind w:left="820"/>
      </w:pPr>
      <w:r>
        <w:t>Accommodation</w:t>
      </w:r>
    </w:p>
    <w:p w:rsidR="00337541" w:rsidRDefault="00620C15" w14:paraId="185152FC" w14:textId="77777777">
      <w:pPr>
        <w:pStyle w:val="ListParagraph"/>
        <w:numPr>
          <w:ilvl w:val="0"/>
          <w:numId w:val="1"/>
        </w:numPr>
        <w:tabs>
          <w:tab w:val="left" w:pos="820"/>
          <w:tab w:val="left" w:pos="821"/>
        </w:tabs>
        <w:spacing w:before="19"/>
        <w:ind w:left="820"/>
      </w:pPr>
      <w:r>
        <w:t>Speaker</w:t>
      </w:r>
      <w:r>
        <w:rPr>
          <w:spacing w:val="-3"/>
        </w:rPr>
        <w:t xml:space="preserve"> </w:t>
      </w:r>
      <w:r>
        <w:t>travel</w:t>
      </w:r>
    </w:p>
    <w:p w:rsidR="00337541" w:rsidRDefault="00620C15" w14:paraId="185152FD" w14:textId="77777777">
      <w:pPr>
        <w:pStyle w:val="ListParagraph"/>
        <w:numPr>
          <w:ilvl w:val="0"/>
          <w:numId w:val="1"/>
        </w:numPr>
        <w:tabs>
          <w:tab w:val="left" w:pos="820"/>
          <w:tab w:val="left" w:pos="821"/>
        </w:tabs>
        <w:spacing w:before="21"/>
        <w:ind w:left="820"/>
      </w:pPr>
      <w:r>
        <w:t>Audio visual</w:t>
      </w:r>
      <w:r>
        <w:rPr>
          <w:spacing w:val="-5"/>
        </w:rPr>
        <w:t xml:space="preserve"> </w:t>
      </w:r>
      <w:r>
        <w:t>expenses</w:t>
      </w:r>
    </w:p>
    <w:p w:rsidR="00337541" w:rsidRDefault="00620C15" w14:paraId="185152FE" w14:textId="36D7B333">
      <w:pPr>
        <w:pStyle w:val="ListParagraph"/>
        <w:numPr>
          <w:ilvl w:val="0"/>
          <w:numId w:val="1"/>
        </w:numPr>
        <w:tabs>
          <w:tab w:val="left" w:pos="820"/>
          <w:tab w:val="left" w:pos="821"/>
        </w:tabs>
        <w:spacing w:before="19"/>
        <w:ind w:left="820"/>
      </w:pPr>
      <w:r>
        <w:t xml:space="preserve">Design, </w:t>
      </w:r>
      <w:r w:rsidR="00F84043">
        <w:t>printing,</w:t>
      </w:r>
      <w:r>
        <w:t xml:space="preserve"> and</w:t>
      </w:r>
      <w:r>
        <w:rPr>
          <w:spacing w:val="-5"/>
        </w:rPr>
        <w:t xml:space="preserve"> </w:t>
      </w:r>
      <w:r>
        <w:t>production</w:t>
      </w:r>
    </w:p>
    <w:p w:rsidR="00337541" w:rsidRDefault="00620C15" w14:paraId="185152FF" w14:textId="77777777">
      <w:pPr>
        <w:pStyle w:val="ListParagraph"/>
        <w:numPr>
          <w:ilvl w:val="0"/>
          <w:numId w:val="1"/>
        </w:numPr>
        <w:tabs>
          <w:tab w:val="left" w:pos="820"/>
          <w:tab w:val="left" w:pos="821"/>
        </w:tabs>
        <w:spacing w:before="22"/>
        <w:ind w:left="820"/>
      </w:pPr>
      <w:r>
        <w:t>Publicity/public</w:t>
      </w:r>
      <w:r>
        <w:rPr>
          <w:spacing w:val="-5"/>
        </w:rPr>
        <w:t xml:space="preserve"> </w:t>
      </w:r>
      <w:r>
        <w:t>relations</w:t>
      </w:r>
    </w:p>
    <w:p w:rsidR="00337541" w:rsidRDefault="00620C15" w14:paraId="18515300" w14:textId="77777777">
      <w:pPr>
        <w:pStyle w:val="ListParagraph"/>
        <w:numPr>
          <w:ilvl w:val="0"/>
          <w:numId w:val="1"/>
        </w:numPr>
        <w:tabs>
          <w:tab w:val="left" w:pos="820"/>
          <w:tab w:val="left" w:pos="821"/>
        </w:tabs>
        <w:spacing w:before="22"/>
        <w:ind w:left="820"/>
      </w:pPr>
      <w:r>
        <w:t>Facilitator, consultant and/or speaker</w:t>
      </w:r>
      <w:r>
        <w:rPr>
          <w:spacing w:val="-11"/>
        </w:rPr>
        <w:t xml:space="preserve"> </w:t>
      </w:r>
      <w:r>
        <w:t>fees</w:t>
      </w:r>
    </w:p>
    <w:p w:rsidR="00337541" w:rsidRDefault="00620C15" w14:paraId="18515301" w14:textId="1A4E7DBD">
      <w:pPr>
        <w:pStyle w:val="ListParagraph"/>
        <w:numPr>
          <w:ilvl w:val="0"/>
          <w:numId w:val="1"/>
        </w:numPr>
        <w:tabs>
          <w:tab w:val="left" w:pos="820"/>
          <w:tab w:val="left" w:pos="821"/>
        </w:tabs>
        <w:spacing w:before="19"/>
        <w:ind w:left="820"/>
      </w:pPr>
      <w:r>
        <w:t>Presenter</w:t>
      </w:r>
      <w:r>
        <w:rPr>
          <w:spacing w:val="-3"/>
        </w:rPr>
        <w:t xml:space="preserve"> </w:t>
      </w:r>
      <w:r>
        <w:t>prizes</w:t>
      </w:r>
    </w:p>
    <w:p w:rsidR="00DA207A" w:rsidRDefault="00DA207A" w14:paraId="503A725B" w14:textId="4BCFCA08">
      <w:pPr>
        <w:pStyle w:val="ListParagraph"/>
        <w:numPr>
          <w:ilvl w:val="0"/>
          <w:numId w:val="1"/>
        </w:numPr>
        <w:tabs>
          <w:tab w:val="left" w:pos="820"/>
          <w:tab w:val="left" w:pos="821"/>
        </w:tabs>
        <w:spacing w:before="19"/>
        <w:ind w:left="820"/>
      </w:pPr>
      <w:r>
        <w:t>Accessibility grants</w:t>
      </w:r>
      <w:r w:rsidR="0063599E">
        <w:t xml:space="preserve"> </w:t>
      </w:r>
    </w:p>
    <w:p w:rsidR="00337541" w:rsidRDefault="00620C15" w14:paraId="18515302" w14:textId="77777777">
      <w:pPr>
        <w:pStyle w:val="BodyText"/>
        <w:spacing w:before="182"/>
        <w:ind w:right="210"/>
      </w:pPr>
      <w:r>
        <w:t>We suggest that you research the cost of required services or approach potential providers of services for an estimate of cost to help you develop a budget. Official quotes from providers are not required.</w:t>
      </w:r>
    </w:p>
    <w:p w:rsidR="00337541" w:rsidRDefault="00620C15" w14:paraId="18515303" w14:textId="7174C345">
      <w:pPr>
        <w:pStyle w:val="BodyText"/>
        <w:spacing w:before="120"/>
        <w:ind w:right="385"/>
      </w:pPr>
      <w:r>
        <w:t>If you have access to discounted services that you propose to use (</w:t>
      </w:r>
      <w:r w:rsidR="00F84043">
        <w:t>e.g.,</w:t>
      </w:r>
      <w:r>
        <w:t xml:space="preserve"> an organisational discount) please include the total undiscounted cost in your budget and include the discount under other sources of support.</w:t>
      </w:r>
    </w:p>
    <w:p w:rsidR="00337541" w:rsidRDefault="00620C15" w14:paraId="18515304" w14:textId="77777777">
      <w:pPr>
        <w:pStyle w:val="BodyText"/>
        <w:spacing w:before="120"/>
      </w:pPr>
      <w:r>
        <w:t>The Theo Murphy (Australia) Fund will not cover the following costs:</w:t>
      </w:r>
    </w:p>
    <w:p w:rsidR="00337541" w:rsidRDefault="00620C15" w14:paraId="18515305" w14:textId="77777777">
      <w:pPr>
        <w:pStyle w:val="ListParagraph"/>
        <w:numPr>
          <w:ilvl w:val="0"/>
          <w:numId w:val="1"/>
        </w:numPr>
        <w:tabs>
          <w:tab w:val="left" w:pos="820"/>
          <w:tab w:val="left" w:pos="821"/>
        </w:tabs>
        <w:spacing w:before="120"/>
        <w:ind w:left="820"/>
      </w:pPr>
      <w:r>
        <w:t>purchase of infrastructure or</w:t>
      </w:r>
      <w:r>
        <w:rPr>
          <w:spacing w:val="-6"/>
        </w:rPr>
        <w:t xml:space="preserve"> </w:t>
      </w:r>
      <w:r>
        <w:t>equipment</w:t>
      </w:r>
    </w:p>
    <w:p w:rsidR="00337541" w:rsidRDefault="00620C15" w14:paraId="18515306" w14:textId="77777777">
      <w:pPr>
        <w:pStyle w:val="ListParagraph"/>
        <w:numPr>
          <w:ilvl w:val="0"/>
          <w:numId w:val="1"/>
        </w:numPr>
        <w:tabs>
          <w:tab w:val="left" w:pos="820"/>
          <w:tab w:val="left" w:pos="821"/>
        </w:tabs>
        <w:spacing w:line="279" w:lineRule="exact"/>
        <w:ind w:left="820"/>
      </w:pPr>
      <w:r>
        <w:t>membership</w:t>
      </w:r>
      <w:r>
        <w:rPr>
          <w:spacing w:val="-4"/>
        </w:rPr>
        <w:t xml:space="preserve"> </w:t>
      </w:r>
      <w:r>
        <w:t>fees</w:t>
      </w:r>
    </w:p>
    <w:p w:rsidR="00337541" w:rsidRDefault="00620C15" w14:paraId="18515307" w14:textId="77777777">
      <w:pPr>
        <w:pStyle w:val="ListParagraph"/>
        <w:numPr>
          <w:ilvl w:val="0"/>
          <w:numId w:val="1"/>
        </w:numPr>
        <w:tabs>
          <w:tab w:val="left" w:pos="820"/>
          <w:tab w:val="left" w:pos="821"/>
        </w:tabs>
        <w:spacing w:line="279" w:lineRule="exact"/>
        <w:ind w:left="820"/>
      </w:pPr>
      <w:r>
        <w:t>registration fees for existing</w:t>
      </w:r>
      <w:r>
        <w:rPr>
          <w:spacing w:val="-17"/>
        </w:rPr>
        <w:t xml:space="preserve"> </w:t>
      </w:r>
      <w:r>
        <w:t>events</w:t>
      </w:r>
    </w:p>
    <w:p w:rsidR="00337541" w:rsidRDefault="00620C15" w14:paraId="18515308" w14:textId="77777777">
      <w:pPr>
        <w:pStyle w:val="ListParagraph"/>
        <w:numPr>
          <w:ilvl w:val="0"/>
          <w:numId w:val="1"/>
        </w:numPr>
        <w:tabs>
          <w:tab w:val="left" w:pos="820"/>
          <w:tab w:val="left" w:pos="821"/>
        </w:tabs>
        <w:spacing w:before="1"/>
        <w:ind w:left="820"/>
      </w:pPr>
      <w:r>
        <w:t>sponsorship of existing</w:t>
      </w:r>
      <w:r>
        <w:rPr>
          <w:spacing w:val="-11"/>
        </w:rPr>
        <w:t xml:space="preserve"> </w:t>
      </w:r>
      <w:r>
        <w:t>events</w:t>
      </w:r>
    </w:p>
    <w:p w:rsidR="00337541" w:rsidRDefault="00620C15" w14:paraId="18515309" w14:textId="77777777">
      <w:pPr>
        <w:pStyle w:val="ListParagraph"/>
        <w:numPr>
          <w:ilvl w:val="0"/>
          <w:numId w:val="1"/>
        </w:numPr>
        <w:tabs>
          <w:tab w:val="left" w:pos="820"/>
          <w:tab w:val="left" w:pos="821"/>
        </w:tabs>
        <w:ind w:left="820"/>
      </w:pPr>
      <w:r>
        <w:t>salaries</w:t>
      </w:r>
    </w:p>
    <w:p w:rsidR="00337541" w:rsidRDefault="00337541" w14:paraId="1851530A" w14:textId="77777777">
      <w:pPr>
        <w:pStyle w:val="BodyText"/>
        <w:spacing w:before="8"/>
        <w:ind w:left="0"/>
        <w:rPr>
          <w:sz w:val="41"/>
        </w:rPr>
      </w:pPr>
    </w:p>
    <w:p w:rsidR="00337541" w:rsidRDefault="00620C15" w14:paraId="1851530B" w14:textId="77777777">
      <w:pPr>
        <w:pStyle w:val="Heading1"/>
      </w:pPr>
      <w:r>
        <w:t>My activity does not fit within the allocated timeline</w:t>
      </w:r>
    </w:p>
    <w:p w:rsidR="00337541" w:rsidRDefault="00620C15" w14:paraId="1851530C" w14:textId="0750912C">
      <w:pPr>
        <w:pStyle w:val="BodyText"/>
        <w:spacing w:before="120" w:line="259" w:lineRule="auto"/>
        <w:ind w:right="336"/>
      </w:pPr>
      <w:r>
        <w:t xml:space="preserve">Activity proposals will be accepted annually to support activities in the following financial year (1 July– 31 June). Applicants will be advised of the outcome by </w:t>
      </w:r>
      <w:r w:rsidR="00131E33">
        <w:t>September</w:t>
      </w:r>
      <w:r w:rsidR="00203E36">
        <w:t xml:space="preserve"> </w:t>
      </w:r>
      <w:r>
        <w:t xml:space="preserve">and can begin </w:t>
      </w:r>
      <w:r w:rsidR="008A4886">
        <w:t>scheduling</w:t>
      </w:r>
      <w:r>
        <w:t xml:space="preserve"> with the Secretariat to deliver their activity. We are interested in supporting a variety of high impact activities and will potentially consider flexibility in application and delivery timing if a strong case can be made.</w:t>
      </w:r>
    </w:p>
    <w:p w:rsidR="00337541" w:rsidRDefault="00620C15" w14:paraId="1851530D" w14:textId="77777777">
      <w:pPr>
        <w:pStyle w:val="BodyText"/>
        <w:spacing w:before="158" w:line="259" w:lineRule="auto"/>
        <w:ind w:right="420"/>
      </w:pPr>
      <w:r>
        <w:t xml:space="preserve">If you have any concerns about how your activity might fit within this timeline, please contact the Secretariat at </w:t>
      </w:r>
      <w:hyperlink r:id="rId14">
        <w:r>
          <w:rPr>
            <w:color w:val="0462C1"/>
            <w:u w:val="single" w:color="0462C1"/>
          </w:rPr>
          <w:t xml:space="preserve">emcr@science.org.au </w:t>
        </w:r>
      </w:hyperlink>
      <w:r>
        <w:t>to discuss. This may include (but not limited to):</w:t>
      </w:r>
    </w:p>
    <w:p w:rsidR="00337541" w:rsidRDefault="00620C15" w14:paraId="1851530E" w14:textId="4F36B4B9">
      <w:pPr>
        <w:pStyle w:val="ListParagraph"/>
        <w:numPr>
          <w:ilvl w:val="0"/>
          <w:numId w:val="1"/>
        </w:numPr>
        <w:tabs>
          <w:tab w:val="left" w:pos="865"/>
          <w:tab w:val="left" w:pos="866"/>
        </w:tabs>
        <w:spacing w:before="158"/>
      </w:pPr>
      <w:r>
        <w:lastRenderedPageBreak/>
        <w:t>proposing an activity early in the delivery period, e.g.</w:t>
      </w:r>
      <w:r>
        <w:rPr>
          <w:spacing w:val="-20"/>
        </w:rPr>
        <w:t xml:space="preserve"> </w:t>
      </w:r>
      <w:r w:rsidR="00F02DD5">
        <w:t>September</w:t>
      </w:r>
    </w:p>
    <w:p w:rsidR="00337541" w:rsidRDefault="00620C15" w14:paraId="1851530F" w14:textId="77777777">
      <w:pPr>
        <w:pStyle w:val="ListParagraph"/>
        <w:numPr>
          <w:ilvl w:val="0"/>
          <w:numId w:val="1"/>
        </w:numPr>
        <w:tabs>
          <w:tab w:val="left" w:pos="865"/>
          <w:tab w:val="left" w:pos="866"/>
        </w:tabs>
        <w:spacing w:before="21" w:line="259" w:lineRule="auto"/>
        <w:ind w:right="840"/>
      </w:pPr>
      <w:r>
        <w:t>proposing an activity to align with an existing activity where our timelines do not co- ordinate well with the existing</w:t>
      </w:r>
      <w:r>
        <w:rPr>
          <w:spacing w:val="-8"/>
        </w:rPr>
        <w:t xml:space="preserve"> </w:t>
      </w:r>
      <w:r>
        <w:t>event</w:t>
      </w:r>
    </w:p>
    <w:p w:rsidR="00337541" w:rsidRDefault="00F131FC" w14:paraId="18515311" w14:textId="6698B32D">
      <w:pPr>
        <w:pStyle w:val="ListParagraph"/>
        <w:numPr>
          <w:ilvl w:val="0"/>
          <w:numId w:val="1"/>
        </w:numPr>
        <w:tabs>
          <w:tab w:val="left" w:pos="865"/>
          <w:tab w:val="left" w:pos="866"/>
        </w:tabs>
        <w:spacing w:before="81" w:line="259" w:lineRule="auto"/>
        <w:ind w:right="476"/>
      </w:pPr>
      <w:r>
        <w:t>p</w:t>
      </w:r>
      <w:r w:rsidR="00620C15">
        <w:t>roposing an ongoing activity, e.g. establishing an EMCR group or on-going education program. The Fund can provide funding and support to establish these types of activities over the granting</w:t>
      </w:r>
      <w:r w:rsidR="00620C15">
        <w:rPr>
          <w:spacing w:val="-6"/>
        </w:rPr>
        <w:t xml:space="preserve"> </w:t>
      </w:r>
      <w:r w:rsidR="00620C15">
        <w:t>period.</w:t>
      </w:r>
    </w:p>
    <w:p w:rsidR="00337541" w:rsidRDefault="00337541" w14:paraId="18515312" w14:textId="77777777">
      <w:pPr>
        <w:pStyle w:val="BodyText"/>
        <w:spacing w:before="8"/>
        <w:ind w:left="0"/>
        <w:rPr>
          <w:sz w:val="19"/>
        </w:rPr>
      </w:pPr>
    </w:p>
    <w:p w:rsidR="00337541" w:rsidRDefault="00620C15" w14:paraId="18515313" w14:textId="77777777">
      <w:pPr>
        <w:pStyle w:val="Heading1"/>
      </w:pPr>
      <w:r>
        <w:t>Tips for successful proposal</w:t>
      </w:r>
    </w:p>
    <w:p w:rsidR="00337541" w:rsidRDefault="00620C15" w14:paraId="18515314" w14:textId="77777777">
      <w:pPr>
        <w:pStyle w:val="BodyText"/>
        <w:spacing w:before="120" w:line="252" w:lineRule="auto"/>
        <w:ind w:right="372"/>
      </w:pPr>
      <w:r>
        <w:t>The EMCR Committee of Council will look favourably on proposals that include one or more of the following:</w:t>
      </w:r>
    </w:p>
    <w:p w:rsidR="00337541" w:rsidRDefault="00620C15" w14:paraId="18515315" w14:textId="77777777">
      <w:pPr>
        <w:pStyle w:val="ListParagraph"/>
        <w:numPr>
          <w:ilvl w:val="0"/>
          <w:numId w:val="1"/>
        </w:numPr>
        <w:tabs>
          <w:tab w:val="left" w:pos="820"/>
          <w:tab w:val="left" w:pos="821"/>
        </w:tabs>
        <w:spacing w:before="160"/>
        <w:ind w:left="820"/>
      </w:pPr>
      <w:r>
        <w:t>smart solutions that address an issue in the</w:t>
      </w:r>
      <w:r>
        <w:rPr>
          <w:spacing w:val="-14"/>
        </w:rPr>
        <w:t xml:space="preserve"> </w:t>
      </w:r>
      <w:r>
        <w:t>field/discipline</w:t>
      </w:r>
    </w:p>
    <w:p w:rsidR="00337541" w:rsidRDefault="00620C15" w14:paraId="18515316" w14:textId="77777777">
      <w:pPr>
        <w:pStyle w:val="ListParagraph"/>
        <w:numPr>
          <w:ilvl w:val="0"/>
          <w:numId w:val="1"/>
        </w:numPr>
        <w:tabs>
          <w:tab w:val="left" w:pos="820"/>
          <w:tab w:val="left" w:pos="821"/>
        </w:tabs>
        <w:spacing w:before="12"/>
        <w:ind w:left="820"/>
      </w:pPr>
      <w:r>
        <w:t>activities can demonstrate how they are able to provide benefit and opportunities to</w:t>
      </w:r>
      <w:r>
        <w:rPr>
          <w:spacing w:val="-22"/>
        </w:rPr>
        <w:t xml:space="preserve"> </w:t>
      </w:r>
      <w:r>
        <w:t>EMCRs</w:t>
      </w:r>
    </w:p>
    <w:p w:rsidR="00337541" w:rsidRDefault="00620C15" w14:paraId="18515317" w14:textId="24853E72">
      <w:pPr>
        <w:pStyle w:val="ListParagraph"/>
        <w:numPr>
          <w:ilvl w:val="0"/>
          <w:numId w:val="1"/>
        </w:numPr>
        <w:tabs>
          <w:tab w:val="left" w:pos="820"/>
          <w:tab w:val="left" w:pos="821"/>
        </w:tabs>
        <w:spacing w:before="12" w:line="252" w:lineRule="auto"/>
        <w:ind w:left="820" w:right="363"/>
      </w:pPr>
      <w:r>
        <w:t xml:space="preserve">innovative ways to extend the reach of the activity to provide benefit to </w:t>
      </w:r>
      <w:r w:rsidR="008E1C2F">
        <w:t>many</w:t>
      </w:r>
      <w:r>
        <w:t xml:space="preserve"> EMCRs</w:t>
      </w:r>
    </w:p>
    <w:p w:rsidR="00337541" w:rsidRDefault="00620C15" w14:paraId="18515318" w14:textId="77777777">
      <w:pPr>
        <w:pStyle w:val="ListParagraph"/>
        <w:numPr>
          <w:ilvl w:val="0"/>
          <w:numId w:val="1"/>
        </w:numPr>
        <w:tabs>
          <w:tab w:val="left" w:pos="820"/>
          <w:tab w:val="left" w:pos="821"/>
        </w:tabs>
        <w:spacing w:line="252" w:lineRule="auto"/>
        <w:ind w:left="820" w:right="595"/>
      </w:pPr>
      <w:r>
        <w:t>limited spending on travel costs, with ideas to leverage the provided funding to support these components if</w:t>
      </w:r>
      <w:r>
        <w:rPr>
          <w:spacing w:val="-6"/>
        </w:rPr>
        <w:t xml:space="preserve"> </w:t>
      </w:r>
      <w:r>
        <w:t>required</w:t>
      </w:r>
    </w:p>
    <w:p w:rsidR="00337541" w:rsidRDefault="00620C15" w14:paraId="18515319" w14:textId="77777777">
      <w:pPr>
        <w:pStyle w:val="ListParagraph"/>
        <w:numPr>
          <w:ilvl w:val="0"/>
          <w:numId w:val="1"/>
        </w:numPr>
        <w:tabs>
          <w:tab w:val="left" w:pos="820"/>
          <w:tab w:val="left" w:pos="821"/>
        </w:tabs>
        <w:spacing w:line="280" w:lineRule="exact"/>
        <w:ind w:left="820"/>
      </w:pPr>
      <w:r>
        <w:t>activities that have flexibility in location and</w:t>
      </w:r>
      <w:r>
        <w:rPr>
          <w:spacing w:val="-15"/>
        </w:rPr>
        <w:t xml:space="preserve"> </w:t>
      </w:r>
      <w:r>
        <w:t>timing</w:t>
      </w:r>
    </w:p>
    <w:p w:rsidR="00337541" w:rsidRDefault="00620C15" w14:paraId="1851531A" w14:textId="651E79B8">
      <w:pPr>
        <w:pStyle w:val="ListParagraph"/>
        <w:numPr>
          <w:ilvl w:val="0"/>
          <w:numId w:val="1"/>
        </w:numPr>
        <w:tabs>
          <w:tab w:val="left" w:pos="820"/>
          <w:tab w:val="left" w:pos="821"/>
        </w:tabs>
        <w:spacing w:before="14"/>
        <w:ind w:left="820"/>
      </w:pPr>
      <w:r>
        <w:t>activities with clear potential</w:t>
      </w:r>
      <w:r>
        <w:rPr>
          <w:spacing w:val="-7"/>
        </w:rPr>
        <w:t xml:space="preserve"> </w:t>
      </w:r>
      <w:r>
        <w:t>outcomes</w:t>
      </w:r>
    </w:p>
    <w:p w:rsidR="006177F6" w:rsidRDefault="006177F6" w14:paraId="5D307443" w14:textId="5AA7D0B8">
      <w:pPr>
        <w:pStyle w:val="ListParagraph"/>
        <w:numPr>
          <w:ilvl w:val="0"/>
          <w:numId w:val="1"/>
        </w:numPr>
        <w:tabs>
          <w:tab w:val="left" w:pos="820"/>
          <w:tab w:val="left" w:pos="821"/>
        </w:tabs>
        <w:spacing w:before="14"/>
        <w:ind w:left="820"/>
      </w:pPr>
      <w:r>
        <w:t xml:space="preserve">demonstrate awareness of diversity, </w:t>
      </w:r>
      <w:r w:rsidR="008E1C2F">
        <w:t>equity,</w:t>
      </w:r>
      <w:r>
        <w:t xml:space="preserve"> and inclusion </w:t>
      </w:r>
      <w:r w:rsidR="00781BF6">
        <w:t>measures</w:t>
      </w:r>
    </w:p>
    <w:p w:rsidR="00AD6FE9" w:rsidRDefault="00AD6FE9" w14:paraId="601B1A14" w14:textId="379F1468">
      <w:pPr>
        <w:pStyle w:val="ListParagraph"/>
        <w:numPr>
          <w:ilvl w:val="0"/>
          <w:numId w:val="1"/>
        </w:numPr>
        <w:tabs>
          <w:tab w:val="left" w:pos="820"/>
          <w:tab w:val="left" w:pos="821"/>
        </w:tabs>
        <w:spacing w:before="14"/>
        <w:ind w:left="820"/>
      </w:pPr>
      <w:r>
        <w:t xml:space="preserve">Consider incorporating supply or activities </w:t>
      </w:r>
      <w:r w:rsidR="009A5561">
        <w:t>resources from Aboriginal and Torres Strait Islander led organisations</w:t>
      </w:r>
    </w:p>
    <w:sectPr w:rsidR="00AD6FE9">
      <w:pgSz w:w="11910" w:h="16840" w:orient="portrait"/>
      <w:pgMar w:top="1340" w:right="132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3B9" w:rsidRDefault="005023B9" w14:paraId="37CC3899" w14:textId="77777777">
      <w:r>
        <w:separator/>
      </w:r>
    </w:p>
  </w:endnote>
  <w:endnote w:type="continuationSeparator" w:id="0">
    <w:p w:rsidR="005023B9" w:rsidRDefault="005023B9" w14:paraId="20D260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37541" w:rsidRDefault="00620C15" w14:paraId="1851531B" w14:textId="698AFC36">
    <w:pPr>
      <w:pStyle w:val="BodyText"/>
      <w:spacing w:line="14" w:lineRule="auto"/>
      <w:ind w:left="0"/>
      <w:rPr>
        <w:sz w:val="20"/>
      </w:rPr>
    </w:pPr>
    <w:r>
      <w:rPr>
        <w:noProof/>
      </w:rPr>
      <mc:AlternateContent>
        <mc:Choice Requires="wps">
          <w:drawing>
            <wp:anchor distT="0" distB="0" distL="114300" distR="114300" simplePos="0" relativeHeight="503312456" behindDoc="1" locked="0" layoutInCell="1" allowOverlap="1" wp14:anchorId="1851531C" wp14:editId="7BD65BC1">
              <wp:simplePos x="0" y="0"/>
              <wp:positionH relativeFrom="page">
                <wp:posOffset>6551930</wp:posOffset>
              </wp:positionH>
              <wp:positionV relativeFrom="page">
                <wp:posOffset>9917430</wp:posOffset>
              </wp:positionV>
              <wp:extent cx="121920" cy="165735"/>
              <wp:effectExtent l="0" t="1905" r="317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541" w:rsidRDefault="00620C15" w14:paraId="1851531E" w14:textId="77777777">
                          <w:pPr>
                            <w:pStyle w:val="BodyText"/>
                            <w:spacing w:line="245"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51531C">
              <v:stroke joinstyle="miter"/>
              <v:path gradientshapeok="t" o:connecttype="rect"/>
            </v:shapetype>
            <v:shape id="Text Box 2" style="position:absolute;margin-left:515.9pt;margin-top:780.9pt;width:9.6pt;height:13.05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">
              <v:textbox inset="0,0,0,0">
                <w:txbxContent>
                  <w:p w:rsidR="00337541" w:rsidRDefault="00620C15" w14:paraId="1851531E" w14:textId="77777777">
                    <w:pPr>
                      <w:pStyle w:val="BodyText"/>
                      <w:spacing w:line="24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480" behindDoc="1" locked="0" layoutInCell="1" allowOverlap="1" wp14:anchorId="1851531D" wp14:editId="1B632C9E">
              <wp:simplePos x="0" y="0"/>
              <wp:positionH relativeFrom="page">
                <wp:posOffset>901700</wp:posOffset>
              </wp:positionH>
              <wp:positionV relativeFrom="page">
                <wp:posOffset>9927590</wp:posOffset>
              </wp:positionV>
              <wp:extent cx="4119880" cy="1524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541" w:rsidRDefault="00620C15" w14:paraId="1851531F" w14:textId="493798CD">
                          <w:pPr>
                            <w:spacing w:line="223" w:lineRule="exact"/>
                            <w:ind w:left="20"/>
                            <w:rPr>
                              <w:b/>
                              <w:sz w:val="20"/>
                            </w:rPr>
                          </w:pPr>
                          <w:r>
                            <w:rPr>
                              <w:b/>
                              <w:color w:val="001F5F"/>
                              <w:sz w:val="20"/>
                            </w:rPr>
                            <w:t>FAQ and tips for proposals |Theo Murphy Initiative (Australia) 202</w:t>
                          </w:r>
                          <w:r w:rsidR="00E46F44">
                            <w:rPr>
                              <w:b/>
                              <w:color w:val="001F5F"/>
                              <w:sz w:val="20"/>
                            </w:rPr>
                            <w:t>2</w:t>
                          </w:r>
                          <w:r w:rsidR="001924BB">
                            <w:rPr>
                              <w:b/>
                              <w:color w:val="001F5F"/>
                              <w:sz w:val="20"/>
                            </w:rPr>
                            <w:t>-</w:t>
                          </w:r>
                          <w:r>
                            <w:rPr>
                              <w:b/>
                              <w:color w:val="001F5F"/>
                              <w:sz w:val="20"/>
                            </w:rPr>
                            <w:t>2</w:t>
                          </w:r>
                          <w:r w:rsidR="00E46F44">
                            <w:rPr>
                              <w:b/>
                              <w:color w:val="001F5F"/>
                              <w:sz w:val="20"/>
                            </w:rPr>
                            <w:t>3</w:t>
                          </w:r>
                          <w:r>
                            <w:rPr>
                              <w:b/>
                              <w:color w:val="001F5F"/>
                              <w:sz w:val="20"/>
                            </w:rPr>
                            <w:t xml:space="preserve"> 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71pt;margin-top:781.7pt;width:324.4pt;height:12pt;z-index:-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" w14:anchorId="1851531D">
              <v:textbox inset="0,0,0,0">
                <w:txbxContent>
                  <w:p w:rsidR="00337541" w:rsidRDefault="00620C15" w14:paraId="1851531F" w14:textId="493798CD">
                    <w:pPr>
                      <w:spacing w:line="223" w:lineRule="exact"/>
                      <w:ind w:left="20"/>
                      <w:rPr>
                        <w:b/>
                        <w:sz w:val="20"/>
                      </w:rPr>
                    </w:pPr>
                    <w:r>
                      <w:rPr>
                        <w:b/>
                        <w:color w:val="001F5F"/>
                        <w:sz w:val="20"/>
                      </w:rPr>
                      <w:t>FAQ and tips for proposals |Theo Murphy Initiative (Australia) 202</w:t>
                    </w:r>
                    <w:r w:rsidR="00E46F44">
                      <w:rPr>
                        <w:b/>
                        <w:color w:val="001F5F"/>
                        <w:sz w:val="20"/>
                      </w:rPr>
                      <w:t>2</w:t>
                    </w:r>
                    <w:r w:rsidR="001924BB">
                      <w:rPr>
                        <w:b/>
                        <w:color w:val="001F5F"/>
                        <w:sz w:val="20"/>
                      </w:rPr>
                      <w:t>-</w:t>
                    </w:r>
                    <w:r>
                      <w:rPr>
                        <w:b/>
                        <w:color w:val="001F5F"/>
                        <w:sz w:val="20"/>
                      </w:rPr>
                      <w:t>2</w:t>
                    </w:r>
                    <w:r w:rsidR="00E46F44">
                      <w:rPr>
                        <w:b/>
                        <w:color w:val="001F5F"/>
                        <w:sz w:val="20"/>
                      </w:rPr>
                      <w:t>3</w:t>
                    </w:r>
                    <w:r>
                      <w:rPr>
                        <w:b/>
                        <w:color w:val="001F5F"/>
                        <w:sz w:val="20"/>
                      </w:rPr>
                      <w:t xml:space="preserve"> round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3B9" w:rsidRDefault="005023B9" w14:paraId="1E9348AF" w14:textId="77777777">
      <w:r>
        <w:separator/>
      </w:r>
    </w:p>
  </w:footnote>
  <w:footnote w:type="continuationSeparator" w:id="0">
    <w:p w:rsidR="005023B9" w:rsidRDefault="005023B9" w14:paraId="34F0081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BF9"/>
    <w:multiLevelType w:val="hybridMultilevel"/>
    <w:tmpl w:val="1172A766"/>
    <w:lvl w:ilvl="0" w:tplc="6F00DEBA">
      <w:numFmt w:val="bullet"/>
      <w:lvlText w:val=""/>
      <w:lvlJc w:val="left"/>
      <w:pPr>
        <w:ind w:left="866" w:hanging="360"/>
      </w:pPr>
      <w:rPr>
        <w:rFonts w:hint="default" w:ascii="Symbol" w:hAnsi="Symbol" w:eastAsia="Symbol" w:cs="Symbol"/>
        <w:w w:val="100"/>
        <w:sz w:val="22"/>
        <w:szCs w:val="22"/>
      </w:rPr>
    </w:lvl>
    <w:lvl w:ilvl="1" w:tplc="35B82D22">
      <w:numFmt w:val="bullet"/>
      <w:lvlText w:val="•"/>
      <w:lvlJc w:val="left"/>
      <w:pPr>
        <w:ind w:left="1698" w:hanging="360"/>
      </w:pPr>
      <w:rPr>
        <w:rFonts w:hint="default"/>
      </w:rPr>
    </w:lvl>
    <w:lvl w:ilvl="2" w:tplc="C9D2FCC8">
      <w:numFmt w:val="bullet"/>
      <w:lvlText w:val="•"/>
      <w:lvlJc w:val="left"/>
      <w:pPr>
        <w:ind w:left="2537" w:hanging="360"/>
      </w:pPr>
      <w:rPr>
        <w:rFonts w:hint="default"/>
      </w:rPr>
    </w:lvl>
    <w:lvl w:ilvl="3" w:tplc="4F143718">
      <w:numFmt w:val="bullet"/>
      <w:lvlText w:val="•"/>
      <w:lvlJc w:val="left"/>
      <w:pPr>
        <w:ind w:left="3375" w:hanging="360"/>
      </w:pPr>
      <w:rPr>
        <w:rFonts w:hint="default"/>
      </w:rPr>
    </w:lvl>
    <w:lvl w:ilvl="4" w:tplc="258EFD98">
      <w:numFmt w:val="bullet"/>
      <w:lvlText w:val="•"/>
      <w:lvlJc w:val="left"/>
      <w:pPr>
        <w:ind w:left="4214" w:hanging="360"/>
      </w:pPr>
      <w:rPr>
        <w:rFonts w:hint="default"/>
      </w:rPr>
    </w:lvl>
    <w:lvl w:ilvl="5" w:tplc="6DC210EA">
      <w:numFmt w:val="bullet"/>
      <w:lvlText w:val="•"/>
      <w:lvlJc w:val="left"/>
      <w:pPr>
        <w:ind w:left="5053" w:hanging="360"/>
      </w:pPr>
      <w:rPr>
        <w:rFonts w:hint="default"/>
      </w:rPr>
    </w:lvl>
    <w:lvl w:ilvl="6" w:tplc="42B21C30">
      <w:numFmt w:val="bullet"/>
      <w:lvlText w:val="•"/>
      <w:lvlJc w:val="left"/>
      <w:pPr>
        <w:ind w:left="5891" w:hanging="360"/>
      </w:pPr>
      <w:rPr>
        <w:rFonts w:hint="default"/>
      </w:rPr>
    </w:lvl>
    <w:lvl w:ilvl="7" w:tplc="B89CB3BA">
      <w:numFmt w:val="bullet"/>
      <w:lvlText w:val="•"/>
      <w:lvlJc w:val="left"/>
      <w:pPr>
        <w:ind w:left="6730" w:hanging="360"/>
      </w:pPr>
      <w:rPr>
        <w:rFonts w:hint="default"/>
      </w:rPr>
    </w:lvl>
    <w:lvl w:ilvl="8" w:tplc="969080E2">
      <w:numFmt w:val="bullet"/>
      <w:lvlText w:val="•"/>
      <w:lvlJc w:val="left"/>
      <w:pPr>
        <w:ind w:left="7569" w:hanging="360"/>
      </w:pPr>
      <w:rPr>
        <w:rFonts w:hint="default"/>
      </w:rPr>
    </w:lvl>
  </w:abstractNum>
  <w:num w:numId="1" w16cid:durableId="56888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41"/>
    <w:rsid w:val="000233A5"/>
    <w:rsid w:val="000B6413"/>
    <w:rsid w:val="001251D4"/>
    <w:rsid w:val="00131E33"/>
    <w:rsid w:val="001924BB"/>
    <w:rsid w:val="001C16F9"/>
    <w:rsid w:val="00203E36"/>
    <w:rsid w:val="00223C09"/>
    <w:rsid w:val="00274E0B"/>
    <w:rsid w:val="002E6493"/>
    <w:rsid w:val="00337541"/>
    <w:rsid w:val="0034706B"/>
    <w:rsid w:val="00354EE7"/>
    <w:rsid w:val="00375D4A"/>
    <w:rsid w:val="004E3D61"/>
    <w:rsid w:val="005023B9"/>
    <w:rsid w:val="006177F6"/>
    <w:rsid w:val="00620C15"/>
    <w:rsid w:val="00630723"/>
    <w:rsid w:val="0063599E"/>
    <w:rsid w:val="00653AFF"/>
    <w:rsid w:val="00743B59"/>
    <w:rsid w:val="00781BF6"/>
    <w:rsid w:val="007C711F"/>
    <w:rsid w:val="00805E0E"/>
    <w:rsid w:val="00841C80"/>
    <w:rsid w:val="00893545"/>
    <w:rsid w:val="008A4886"/>
    <w:rsid w:val="008C3805"/>
    <w:rsid w:val="008E1C2F"/>
    <w:rsid w:val="009660C2"/>
    <w:rsid w:val="009A5561"/>
    <w:rsid w:val="00AC4999"/>
    <w:rsid w:val="00AD6FE9"/>
    <w:rsid w:val="00B26378"/>
    <w:rsid w:val="00BB5BEE"/>
    <w:rsid w:val="00C26A08"/>
    <w:rsid w:val="00CD43CF"/>
    <w:rsid w:val="00D52C80"/>
    <w:rsid w:val="00D71194"/>
    <w:rsid w:val="00DA207A"/>
    <w:rsid w:val="00E022ED"/>
    <w:rsid w:val="00E04018"/>
    <w:rsid w:val="00E46F44"/>
    <w:rsid w:val="00F02DD5"/>
    <w:rsid w:val="00F131FC"/>
    <w:rsid w:val="00F44060"/>
    <w:rsid w:val="00F47474"/>
    <w:rsid w:val="00F84043"/>
    <w:rsid w:val="5368DEF2"/>
    <w:rsid w:val="76EF7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2CD"/>
  <w15:docId w15:val="{FE591951-CBA4-47F3-B635-A4B39A99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0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E46F44"/>
    <w:pPr>
      <w:tabs>
        <w:tab w:val="center" w:pos="4513"/>
        <w:tab w:val="right" w:pos="9026"/>
      </w:tabs>
    </w:pPr>
  </w:style>
  <w:style w:type="character" w:styleId="HeaderChar" w:customStyle="1">
    <w:name w:val="Header Char"/>
    <w:basedOn w:val="DefaultParagraphFont"/>
    <w:link w:val="Header"/>
    <w:uiPriority w:val="99"/>
    <w:rsid w:val="00E46F44"/>
    <w:rPr>
      <w:rFonts w:ascii="Calibri" w:hAnsi="Calibri" w:eastAsia="Calibri" w:cs="Calibri"/>
    </w:rPr>
  </w:style>
  <w:style w:type="paragraph" w:styleId="Footer">
    <w:name w:val="footer"/>
    <w:basedOn w:val="Normal"/>
    <w:link w:val="FooterChar"/>
    <w:uiPriority w:val="99"/>
    <w:unhideWhenUsed/>
    <w:rsid w:val="00E46F44"/>
    <w:pPr>
      <w:tabs>
        <w:tab w:val="center" w:pos="4513"/>
        <w:tab w:val="right" w:pos="9026"/>
      </w:tabs>
    </w:pPr>
  </w:style>
  <w:style w:type="character" w:styleId="FooterChar" w:customStyle="1">
    <w:name w:val="Footer Char"/>
    <w:basedOn w:val="DefaultParagraphFont"/>
    <w:link w:val="Footer"/>
    <w:uiPriority w:val="99"/>
    <w:rsid w:val="00E46F44"/>
    <w:rPr>
      <w:rFonts w:ascii="Calibri" w:hAnsi="Calibri" w:eastAsia="Calibri" w:cs="Calibri"/>
    </w:rPr>
  </w:style>
  <w:style w:type="character" w:styleId="CommentReference">
    <w:name w:val="annotation reference"/>
    <w:basedOn w:val="DefaultParagraphFont"/>
    <w:uiPriority w:val="99"/>
    <w:semiHidden/>
    <w:unhideWhenUsed/>
    <w:rsid w:val="00B26378"/>
    <w:rPr>
      <w:sz w:val="16"/>
      <w:szCs w:val="16"/>
    </w:rPr>
  </w:style>
  <w:style w:type="paragraph" w:styleId="CommentText">
    <w:name w:val="annotation text"/>
    <w:basedOn w:val="Normal"/>
    <w:link w:val="CommentTextChar"/>
    <w:uiPriority w:val="99"/>
    <w:unhideWhenUsed/>
    <w:rsid w:val="00B26378"/>
    <w:rPr>
      <w:sz w:val="20"/>
      <w:szCs w:val="20"/>
    </w:rPr>
  </w:style>
  <w:style w:type="character" w:styleId="CommentTextChar" w:customStyle="1">
    <w:name w:val="Comment Text Char"/>
    <w:basedOn w:val="DefaultParagraphFont"/>
    <w:link w:val="CommentText"/>
    <w:uiPriority w:val="99"/>
    <w:rsid w:val="00B26378"/>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B26378"/>
    <w:rPr>
      <w:b/>
      <w:bCs/>
    </w:rPr>
  </w:style>
  <w:style w:type="character" w:styleId="CommentSubjectChar" w:customStyle="1">
    <w:name w:val="Comment Subject Char"/>
    <w:basedOn w:val="CommentTextChar"/>
    <w:link w:val="CommentSubject"/>
    <w:uiPriority w:val="99"/>
    <w:semiHidden/>
    <w:rsid w:val="00B26378"/>
    <w:rPr>
      <w:rFonts w:ascii="Calibri" w:hAnsi="Calibri" w:eastAsia="Calibri" w:cs="Calibri"/>
      <w:b/>
      <w:bCs/>
      <w:sz w:val="20"/>
      <w:szCs w:val="20"/>
    </w:rPr>
  </w:style>
  <w:style w:type="paragraph" w:styleId="Revision">
    <w:name w:val="Revision"/>
    <w:hidden/>
    <w:uiPriority w:val="99"/>
    <w:semiHidden/>
    <w:rsid w:val="00375D4A"/>
    <w:pPr>
      <w:widowControl/>
      <w:autoSpaceDE/>
      <w:autoSpaceDN/>
    </w:pPr>
    <w:rPr>
      <w:rFonts w:ascii="Calibri" w:hAnsi="Calibri" w:eastAsia="Calibri" w:cs="Calibri"/>
    </w:rPr>
  </w:style>
  <w:style w:type="character" w:styleId="cf01" w:customStyle="1">
    <w:name w:val="cf01"/>
    <w:basedOn w:val="DefaultParagraphFont"/>
    <w:rsid w:val="00AC4999"/>
    <w:rPr>
      <w:rFonts w:hint="default" w:ascii="Segoe UI" w:hAnsi="Segoe UI" w:cs="Segoe UI"/>
      <w:sz w:val="18"/>
      <w:szCs w:val="18"/>
    </w:rPr>
  </w:style>
  <w:style w:type="character" w:styleId="Hyperlink">
    <w:name w:val="Hyperlink"/>
    <w:basedOn w:val="DefaultParagraphFont"/>
    <w:uiPriority w:val="99"/>
    <w:unhideWhenUsed/>
    <w:rsid w:val="001924BB"/>
    <w:rPr>
      <w:color w:val="0000FF" w:themeColor="hyperlink"/>
      <w:u w:val="single"/>
    </w:rPr>
  </w:style>
  <w:style w:type="character" w:styleId="UnresolvedMention">
    <w:name w:val="Unresolved Mention"/>
    <w:basedOn w:val="DefaultParagraphFont"/>
    <w:uiPriority w:val="99"/>
    <w:semiHidden/>
    <w:unhideWhenUsed/>
    <w:rsid w:val="001924BB"/>
    <w:rPr>
      <w:color w:val="605E5C"/>
      <w:shd w:val="clear" w:color="auto" w:fill="E1DFDD"/>
    </w:rPr>
  </w:style>
  <w:style w:type="character" w:styleId="FollowedHyperlink">
    <w:name w:val="FollowedHyperlink"/>
    <w:basedOn w:val="DefaultParagraphFont"/>
    <w:uiPriority w:val="99"/>
    <w:semiHidden/>
    <w:unhideWhenUsed/>
    <w:rsid w:val="000B6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science.org.au/supporting-science/early-and-mid-career-researchers-0/emcrs/emcr-membership-registration" TargetMode="External" Id="rId8"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science.org.au/supporting-science/awards-and-opportunities/theo-murphy-initiative-australia"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yperlink" Target="https://www.science.org.au/supporting-science/early-and-mid-career-researchers-0/emcrs/emcr-membership-registration" TargetMode="External" Id="rId9" /><Relationship Type="http://schemas.openxmlformats.org/officeDocument/2006/relationships/hyperlink" Target="mailto:emcr@science.org.au" TargetMode="External" Id="rId14" /><Relationship Type="http://schemas.openxmlformats.org/officeDocument/2006/relationships/hyperlink" Target="https://ausacademyofscience.sharepoint.com/:w:/s/DiversityAndInclusion/Ecohu_hO60dBpIp94KZWJvgB1MWGI4ZteuXBjSqbRdsflA?e=i15cc6" TargetMode="External" Id="R6bb3ccbe462c405f" /><Relationship Type="http://schemas.openxmlformats.org/officeDocument/2006/relationships/hyperlink" Target="https://ausacademyofscience.sharepoint.com/:w:/s/DiversityAndInclusion/Ef5J2cOd4ChKlB0Ly746KCMBPGO0grKg33WTuD_cmf2NqA?e=D8E6T9" TargetMode="External" Id="R01fe846566994d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3E8E93D206DC4CBCDD915EA05C0940" ma:contentTypeVersion="6" ma:contentTypeDescription="Create a new document." ma:contentTypeScope="" ma:versionID="1a6e4bd4f07ee31d68b3a4ce1f578c46">
  <xsd:schema xmlns:xsd="http://www.w3.org/2001/XMLSchema" xmlns:xs="http://www.w3.org/2001/XMLSchema" xmlns:p="http://schemas.microsoft.com/office/2006/metadata/properties" xmlns:ns2="7c612b10-120a-498f-b2d5-e965d23fe631" targetNamespace="http://schemas.microsoft.com/office/2006/metadata/properties" ma:root="true" ma:fieldsID="c35e032d76a0877a3bf17874117cbf14" ns2:_="">
    <xsd:import namespace="7c612b10-120a-498f-b2d5-e965d23fe6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12b10-120a-498f-b2d5-e965d23fe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7710A-8703-43AA-BA68-0D7CEE233CED}">
  <ds:schemaRefs>
    <ds:schemaRef ds:uri="http://schemas.openxmlformats.org/officeDocument/2006/bibliography"/>
  </ds:schemaRefs>
</ds:datastoreItem>
</file>

<file path=customXml/itemProps2.xml><?xml version="1.0" encoding="utf-8"?>
<ds:datastoreItem xmlns:ds="http://schemas.openxmlformats.org/officeDocument/2006/customXml" ds:itemID="{24B61AB5-1FEF-4C68-BB72-0400DE248380}"/>
</file>

<file path=customXml/itemProps3.xml><?xml version="1.0" encoding="utf-8"?>
<ds:datastoreItem xmlns:ds="http://schemas.openxmlformats.org/officeDocument/2006/customXml" ds:itemID="{E9D1C7A1-915B-4890-9776-FD837221F3CF}"/>
</file>

<file path=customXml/itemProps4.xml><?xml version="1.0" encoding="utf-8"?>
<ds:datastoreItem xmlns:ds="http://schemas.openxmlformats.org/officeDocument/2006/customXml" ds:itemID="{6D825700-DD65-4BA4-B0D3-FBFC0C7FA7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Laura Navarro</dc:creator>
  <lastModifiedBy>Aisha Setipa</lastModifiedBy>
  <revision>14</revision>
  <dcterms:created xsi:type="dcterms:W3CDTF">2022-06-30T04:46:00.0000000Z</dcterms:created>
  <dcterms:modified xsi:type="dcterms:W3CDTF">2022-07-08T03:24:15.1658989Z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for Microsoft 365</vt:lpwstr>
  </property>
  <property fmtid="{D5CDD505-2E9C-101B-9397-08002B2CF9AE}" pid="4" name="LastSaved">
    <vt:filetime>2022-04-01T00:00:00Z</vt:filetime>
  </property>
  <property fmtid="{D5CDD505-2E9C-101B-9397-08002B2CF9AE}" pid="5" name="ContentTypeId">
    <vt:lpwstr>0x0101009B3E8E93D206DC4CBCDD915EA05C0940</vt:lpwstr>
  </property>
</Properties>
</file>