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3F67" w:rsidR="00A5647E" w:rsidP="00EC3F67" w:rsidRDefault="00EC3F67" w14:paraId="471CB7A3" w14:textId="6BFC30A9">
      <w:pPr>
        <w:pStyle w:val="Heading1"/>
        <w:rPr>
          <w:b w:val="1"/>
          <w:bCs w:val="1"/>
        </w:rPr>
      </w:pPr>
      <w:bookmarkStart w:name="_Hlk23941432" w:id="0"/>
      <w:r w:rsidRPr="69C3C7A9" w:rsidR="00EC3F67">
        <w:rPr>
          <w:b w:val="1"/>
          <w:bCs w:val="1"/>
        </w:rPr>
        <w:t xml:space="preserve">Theo Murphy Initiative (Australia) </w:t>
      </w:r>
      <w:bookmarkEnd w:id="0"/>
      <w:r w:rsidRPr="69C3C7A9" w:rsidR="00EC3F67">
        <w:rPr>
          <w:b w:val="1"/>
          <w:bCs w:val="1"/>
        </w:rPr>
        <w:t>2022-2023 Guidelines</w:t>
      </w:r>
    </w:p>
    <w:p w:rsidR="007F7975" w:rsidP="00EC3F67" w:rsidRDefault="007F7975" w14:paraId="3D9218CD" w14:textId="77777777">
      <w:pPr>
        <w:rPr>
          <w:rFonts w:cstheme="minorHAnsi"/>
          <w:color w:val="000000"/>
          <w:shd w:val="clear" w:color="auto" w:fill="FFFFFF"/>
        </w:rPr>
      </w:pPr>
    </w:p>
    <w:p w:rsidRPr="00CD0404" w:rsidR="007F7975" w:rsidP="007F7975" w:rsidRDefault="007F7975" w14:paraId="2CF02350" w14:textId="77777777">
      <w:pPr>
        <w:pStyle w:val="Heading2"/>
        <w:rPr>
          <w:rFonts w:eastAsia="Times New Roman"/>
          <w:lang w:eastAsia="en-AU"/>
        </w:rPr>
      </w:pPr>
      <w:r w:rsidRPr="00CD0404">
        <w:rPr>
          <w:rFonts w:eastAsia="Times New Roman"/>
          <w:lang w:eastAsia="en-AU"/>
        </w:rPr>
        <w:t>Guidelines and selection criteria for activity proposals</w:t>
      </w:r>
    </w:p>
    <w:p w:rsidRPr="00CD0404" w:rsidR="007F7975" w:rsidP="007F7975" w:rsidRDefault="007F7975" w14:paraId="62F62BFE" w14:textId="70783319">
      <w:pPr>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 xml:space="preserve">The </w:t>
      </w:r>
      <w:hyperlink w:history="1" r:id="rId7">
        <w:r w:rsidRPr="007F7975">
          <w:rPr>
            <w:rStyle w:val="Hyperlink"/>
            <w:rFonts w:cstheme="minorHAnsi"/>
            <w:color w:val="337AB7"/>
            <w:shd w:val="clear" w:color="auto" w:fill="FFFFFF"/>
          </w:rPr>
          <w:t>Theo Murphy Initiative (Australia)</w:t>
        </w:r>
      </w:hyperlink>
      <w:r w:rsidRPr="007F7975">
        <w:rPr>
          <w:rFonts w:cstheme="minorHAnsi"/>
        </w:rPr>
        <w:t xml:space="preserve"> </w:t>
      </w:r>
      <w:r w:rsidRPr="00CD0404">
        <w:rPr>
          <w:rFonts w:eastAsia="Times New Roman" w:cstheme="minorHAnsi"/>
          <w:color w:val="000000"/>
          <w:lang w:eastAsia="en-AU"/>
        </w:rPr>
        <w:t>aims to provide benefits</w:t>
      </w:r>
      <w:r w:rsidRPr="007F7975">
        <w:rPr>
          <w:rFonts w:eastAsia="Times New Roman" w:cstheme="minorHAnsi"/>
          <w:color w:val="000000"/>
          <w:lang w:eastAsia="en-AU"/>
        </w:rPr>
        <w:t>,</w:t>
      </w:r>
      <w:r w:rsidRPr="00CD0404">
        <w:rPr>
          <w:rFonts w:eastAsia="Times New Roman" w:cstheme="minorHAnsi"/>
          <w:color w:val="000000"/>
          <w:lang w:eastAsia="en-AU"/>
        </w:rPr>
        <w:t xml:space="preserve"> opport</w:t>
      </w:r>
      <w:r w:rsidRPr="007F7975">
        <w:rPr>
          <w:rFonts w:eastAsia="Times New Roman" w:cstheme="minorHAnsi"/>
          <w:color w:val="000000"/>
          <w:lang w:eastAsia="en-AU"/>
        </w:rPr>
        <w:t xml:space="preserve">unities, activities </w:t>
      </w:r>
      <w:r w:rsidRPr="00CD0404">
        <w:rPr>
          <w:rFonts w:eastAsia="Times New Roman" w:cstheme="minorHAnsi"/>
          <w:color w:val="000000"/>
          <w:lang w:eastAsia="en-AU"/>
        </w:rPr>
        <w:t>and events annually to support Australia’s early- and mid-career researchers (EMCRs) in science, technology, engineering and mathematics (STEM). </w:t>
      </w:r>
      <w:proofErr w:type="gramStart"/>
      <w:r w:rsidRPr="00CD0404">
        <w:rPr>
          <w:rFonts w:eastAsia="Times New Roman" w:cstheme="minorHAnsi"/>
          <w:color w:val="000000"/>
          <w:lang w:eastAsia="en-AU"/>
        </w:rPr>
        <w:t>For the purpose of</w:t>
      </w:r>
      <w:proofErr w:type="gramEnd"/>
      <w:r w:rsidRPr="00CD0404">
        <w:rPr>
          <w:rFonts w:eastAsia="Times New Roman" w:cstheme="minorHAnsi"/>
          <w:color w:val="000000"/>
          <w:lang w:eastAsia="en-AU"/>
        </w:rPr>
        <w:t xml:space="preserve"> this program, an EMCR is defined as a researcher up to 15 years post-PhD excluding career breaks, irrespective of their type of appointment or type of employer.</w:t>
      </w:r>
    </w:p>
    <w:p w:rsidRPr="00CD0404" w:rsidR="007F7975" w:rsidP="007F7975" w:rsidRDefault="007F7975" w14:paraId="1902ADE8" w14:textId="77777777">
      <w:pPr>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The purpose of the Theo Murphy Initiative (Australia) is to further scientific discovery in Australia by delivering opportunities that empower the next generation of science leaders.</w:t>
      </w:r>
    </w:p>
    <w:p w:rsidR="007F7975" w:rsidP="007F7975" w:rsidRDefault="007F7975" w14:paraId="16D666B7" w14:textId="05C92FA8">
      <w:pPr>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In its 202</w:t>
      </w:r>
      <w:r>
        <w:rPr>
          <w:rFonts w:eastAsia="Times New Roman" w:cstheme="minorHAnsi"/>
          <w:color w:val="000000"/>
          <w:lang w:eastAsia="en-AU"/>
        </w:rPr>
        <w:t>2</w:t>
      </w:r>
      <w:r w:rsidRPr="00CD0404">
        <w:rPr>
          <w:rFonts w:eastAsia="Times New Roman" w:cstheme="minorHAnsi"/>
          <w:color w:val="000000"/>
          <w:lang w:eastAsia="en-AU"/>
        </w:rPr>
        <w:t>–202</w:t>
      </w:r>
      <w:r>
        <w:rPr>
          <w:rFonts w:eastAsia="Times New Roman" w:cstheme="minorHAnsi"/>
          <w:color w:val="000000"/>
          <w:lang w:eastAsia="en-AU"/>
        </w:rPr>
        <w:t>3</w:t>
      </w:r>
      <w:r w:rsidRPr="00CD0404">
        <w:rPr>
          <w:rFonts w:eastAsia="Times New Roman" w:cstheme="minorHAnsi"/>
          <w:color w:val="000000"/>
          <w:lang w:eastAsia="en-AU"/>
        </w:rPr>
        <w:t xml:space="preserve"> round, the Theo Murphy Initiative (Australia) will fund interdisciplinary activities that provide research and career development opportunities for EMCRs in Australia.</w:t>
      </w:r>
      <w:r>
        <w:rPr>
          <w:rFonts w:eastAsia="Times New Roman" w:cstheme="minorHAnsi"/>
          <w:color w:val="000000"/>
          <w:lang w:eastAsia="en-AU"/>
        </w:rPr>
        <w:t xml:space="preserve"> There are three streams of funding available:</w:t>
      </w:r>
    </w:p>
    <w:p w:rsidRPr="00BC2862" w:rsidR="007F7975" w:rsidP="007F7975" w:rsidRDefault="00FD1860" w14:paraId="1235F7C8" w14:textId="4BE59885">
      <w:pPr>
        <w:pStyle w:val="ListParagraph"/>
        <w:numPr>
          <w:ilvl w:val="0"/>
          <w:numId w:val="6"/>
        </w:numPr>
        <w:shd w:val="clear" w:color="auto" w:fill="FFFFFF"/>
        <w:spacing w:after="180" w:line="300" w:lineRule="atLeast"/>
        <w:rPr>
          <w:rFonts w:eastAsia="Times New Roman" w:cstheme="minorHAnsi"/>
          <w:b/>
          <w:bCs/>
          <w:color w:val="000000"/>
          <w:lang w:eastAsia="en-AU"/>
        </w:rPr>
      </w:pPr>
      <w:r w:rsidRPr="00BC2862">
        <w:rPr>
          <w:rFonts w:eastAsia="Times New Roman" w:cstheme="minorHAnsi"/>
          <w:b/>
          <w:bCs/>
          <w:color w:val="000000"/>
          <w:lang w:eastAsia="en-AU"/>
        </w:rPr>
        <w:t xml:space="preserve">Stream 1: </w:t>
      </w:r>
      <w:r w:rsidRPr="00BC2862" w:rsidR="007F7975">
        <w:rPr>
          <w:rFonts w:eastAsia="Times New Roman" w:cstheme="minorHAnsi"/>
          <w:b/>
          <w:bCs/>
          <w:color w:val="000000"/>
          <w:lang w:eastAsia="en-AU"/>
        </w:rPr>
        <w:t>Flagship</w:t>
      </w:r>
      <w:r w:rsidRPr="00BC2862">
        <w:rPr>
          <w:rFonts w:eastAsia="Times New Roman" w:cstheme="minorHAnsi"/>
          <w:b/>
          <w:bCs/>
          <w:color w:val="000000"/>
          <w:lang w:eastAsia="en-AU"/>
        </w:rPr>
        <w:t xml:space="preserve"> activities</w:t>
      </w:r>
    </w:p>
    <w:p w:rsidR="001244E7" w:rsidP="001244E7" w:rsidRDefault="00FD1860" w14:paraId="4E4B0854" w14:textId="2BA28A3F">
      <w:pPr>
        <w:pStyle w:val="ListParagraph"/>
        <w:shd w:val="clear" w:color="auto" w:fill="FFFFFF"/>
        <w:spacing w:after="180" w:line="300" w:lineRule="atLeast"/>
        <w:rPr>
          <w:rFonts w:eastAsia="Times New Roman" w:cstheme="minorHAnsi"/>
          <w:color w:val="000000"/>
          <w:lang w:eastAsia="en-AU"/>
        </w:rPr>
      </w:pPr>
      <w:r>
        <w:rPr>
          <w:rFonts w:eastAsia="Times New Roman" w:cstheme="minorHAnsi"/>
          <w:color w:val="000000"/>
          <w:lang w:eastAsia="en-AU"/>
        </w:rPr>
        <w:t xml:space="preserve">Funding for a maximum of two activities to be delivered, including full support of the Academy Secretariat. These activities would be selected through an open application process and are </w:t>
      </w:r>
      <w:proofErr w:type="gramStart"/>
      <w:r>
        <w:rPr>
          <w:rFonts w:eastAsia="Times New Roman" w:cstheme="minorHAnsi"/>
          <w:color w:val="000000"/>
          <w:lang w:eastAsia="en-AU"/>
        </w:rPr>
        <w:t>similar to</w:t>
      </w:r>
      <w:proofErr w:type="gramEnd"/>
      <w:r>
        <w:rPr>
          <w:rFonts w:eastAsia="Times New Roman" w:cstheme="minorHAnsi"/>
          <w:color w:val="000000"/>
          <w:lang w:eastAsia="en-AU"/>
        </w:rPr>
        <w:t xml:space="preserve"> the 2021-2022 activities. Flagship activities would not be possible without the support and guidance of the Academy.</w:t>
      </w:r>
      <w:r w:rsidR="001244E7">
        <w:rPr>
          <w:rFonts w:eastAsia="Times New Roman" w:cstheme="minorHAnsi"/>
          <w:color w:val="000000"/>
          <w:lang w:eastAsia="en-AU"/>
        </w:rPr>
        <w:t xml:space="preserve"> </w:t>
      </w:r>
    </w:p>
    <w:p w:rsidR="001244E7" w:rsidP="001244E7" w:rsidRDefault="001244E7" w14:paraId="4FDD5D8A" w14:textId="2F8B5CC7">
      <w:pPr>
        <w:pStyle w:val="ListParagraph"/>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Support ranges from A$15,000 to $50,000 per activity for direct activity costs.</w:t>
      </w:r>
    </w:p>
    <w:p w:rsidRPr="001244E7" w:rsidR="001244E7" w:rsidP="001244E7" w:rsidRDefault="001244E7" w14:paraId="1073051A" w14:textId="77777777">
      <w:pPr>
        <w:pStyle w:val="ListParagraph"/>
        <w:shd w:val="clear" w:color="auto" w:fill="FFFFFF"/>
        <w:spacing w:after="180" w:line="300" w:lineRule="atLeast"/>
        <w:rPr>
          <w:rFonts w:eastAsia="Times New Roman" w:cstheme="minorHAnsi"/>
          <w:color w:val="000000"/>
          <w:lang w:eastAsia="en-AU"/>
        </w:rPr>
      </w:pPr>
    </w:p>
    <w:p w:rsidRPr="00BC2862" w:rsidR="007F7975" w:rsidP="007F7975" w:rsidRDefault="00FD1860" w14:paraId="05C10D69" w14:textId="5858BD21">
      <w:pPr>
        <w:pStyle w:val="ListParagraph"/>
        <w:numPr>
          <w:ilvl w:val="0"/>
          <w:numId w:val="6"/>
        </w:numPr>
        <w:shd w:val="clear" w:color="auto" w:fill="FFFFFF"/>
        <w:spacing w:after="180" w:line="300" w:lineRule="atLeast"/>
        <w:rPr>
          <w:rFonts w:eastAsia="Times New Roman" w:cstheme="minorHAnsi"/>
          <w:b/>
          <w:bCs/>
          <w:color w:val="000000"/>
          <w:lang w:eastAsia="en-AU"/>
        </w:rPr>
      </w:pPr>
      <w:r w:rsidRPr="00BC2862">
        <w:rPr>
          <w:rFonts w:eastAsia="Times New Roman" w:cstheme="minorHAnsi"/>
          <w:b/>
          <w:bCs/>
          <w:color w:val="000000"/>
          <w:lang w:eastAsia="en-AU"/>
        </w:rPr>
        <w:t xml:space="preserve">Stream 2: </w:t>
      </w:r>
      <w:r w:rsidRPr="00BC2862" w:rsidR="007F7975">
        <w:rPr>
          <w:rFonts w:eastAsia="Times New Roman" w:cstheme="minorHAnsi"/>
          <w:b/>
          <w:bCs/>
          <w:color w:val="000000"/>
          <w:lang w:eastAsia="en-AU"/>
        </w:rPr>
        <w:t>Amplify</w:t>
      </w:r>
      <w:r w:rsidRPr="00BC2862">
        <w:rPr>
          <w:rFonts w:eastAsia="Times New Roman" w:cstheme="minorHAnsi"/>
          <w:b/>
          <w:bCs/>
          <w:color w:val="000000"/>
          <w:lang w:eastAsia="en-AU"/>
        </w:rPr>
        <w:t xml:space="preserve"> activities</w:t>
      </w:r>
    </w:p>
    <w:p w:rsidR="001244E7" w:rsidP="001244E7" w:rsidRDefault="00FD1860" w14:paraId="5A2AF151" w14:textId="5CF97D22">
      <w:pPr>
        <w:pStyle w:val="ListParagraph"/>
        <w:shd w:val="clear" w:color="auto" w:fill="FFFFFF"/>
        <w:spacing w:after="180" w:line="300" w:lineRule="atLeast"/>
        <w:rPr>
          <w:rFonts w:eastAsia="Times New Roman" w:cstheme="minorHAnsi"/>
          <w:color w:val="000000"/>
          <w:lang w:eastAsia="en-AU"/>
        </w:rPr>
      </w:pPr>
      <w:r>
        <w:rPr>
          <w:rFonts w:eastAsia="Times New Roman" w:cstheme="minorHAnsi"/>
          <w:color w:val="000000"/>
          <w:lang w:eastAsia="en-AU"/>
        </w:rPr>
        <w:t>Direct funding for activities being delivered by other organisations, creating a partnership relation between the Academy and the organisation driving the activity. The Academy becomes a sponsor for these activities to amplify their reach, with funding to be directed to value-added event activities or scholarship/bursary opportunities</w:t>
      </w:r>
      <w:r w:rsidR="00645F94">
        <w:rPr>
          <w:rFonts w:eastAsia="Times New Roman" w:cstheme="minorHAnsi"/>
          <w:color w:val="000000"/>
          <w:lang w:eastAsia="en-AU"/>
        </w:rPr>
        <w:t xml:space="preserve"> that directly benefit EMCR participation</w:t>
      </w:r>
      <w:r>
        <w:rPr>
          <w:rFonts w:eastAsia="Times New Roman" w:cstheme="minorHAnsi"/>
          <w:color w:val="000000"/>
          <w:lang w:eastAsia="en-AU"/>
        </w:rPr>
        <w:t xml:space="preserve">. </w:t>
      </w:r>
    </w:p>
    <w:p w:rsidR="001244E7" w:rsidP="001244E7" w:rsidRDefault="001244E7" w14:paraId="7A933F62" w14:textId="4CCA039A">
      <w:pPr>
        <w:pStyle w:val="ListParagraph"/>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Support ranges from A$5,000 to $</w:t>
      </w:r>
      <w:r>
        <w:rPr>
          <w:rFonts w:eastAsia="Times New Roman" w:cstheme="minorHAnsi"/>
          <w:color w:val="000000"/>
          <w:lang w:eastAsia="en-AU"/>
        </w:rPr>
        <w:t>15</w:t>
      </w:r>
      <w:r w:rsidRPr="00CD0404">
        <w:rPr>
          <w:rFonts w:eastAsia="Times New Roman" w:cstheme="minorHAnsi"/>
          <w:color w:val="000000"/>
          <w:lang w:eastAsia="en-AU"/>
        </w:rPr>
        <w:t>,000 per activity for direct activity costs</w:t>
      </w:r>
      <w:r>
        <w:rPr>
          <w:rFonts w:eastAsia="Times New Roman" w:cstheme="minorHAnsi"/>
          <w:color w:val="000000"/>
          <w:lang w:eastAsia="en-AU"/>
        </w:rPr>
        <w:t>.</w:t>
      </w:r>
    </w:p>
    <w:p w:rsidRPr="001244E7" w:rsidR="001244E7" w:rsidP="001244E7" w:rsidRDefault="001244E7" w14:paraId="7CF8F7F8" w14:textId="77777777">
      <w:pPr>
        <w:pStyle w:val="ListParagraph"/>
        <w:shd w:val="clear" w:color="auto" w:fill="FFFFFF"/>
        <w:spacing w:after="180" w:line="300" w:lineRule="atLeast"/>
        <w:rPr>
          <w:rFonts w:eastAsia="Times New Roman" w:cstheme="minorHAnsi"/>
          <w:color w:val="000000"/>
          <w:lang w:eastAsia="en-AU"/>
        </w:rPr>
      </w:pPr>
    </w:p>
    <w:p w:rsidRPr="00BC2862" w:rsidR="00FD1860" w:rsidP="007F7975" w:rsidRDefault="00FD1860" w14:paraId="2443D052" w14:textId="77777777">
      <w:pPr>
        <w:pStyle w:val="ListParagraph"/>
        <w:numPr>
          <w:ilvl w:val="0"/>
          <w:numId w:val="6"/>
        </w:numPr>
        <w:shd w:val="clear" w:color="auto" w:fill="FFFFFF"/>
        <w:spacing w:after="180" w:line="300" w:lineRule="atLeast"/>
        <w:rPr>
          <w:rFonts w:eastAsia="Times New Roman" w:cstheme="minorHAnsi"/>
          <w:b/>
          <w:bCs/>
          <w:color w:val="000000"/>
          <w:lang w:eastAsia="en-AU"/>
        </w:rPr>
      </w:pPr>
      <w:r w:rsidRPr="00BC2862">
        <w:rPr>
          <w:rFonts w:eastAsia="Times New Roman" w:cstheme="minorHAnsi"/>
          <w:b/>
          <w:bCs/>
          <w:color w:val="000000"/>
          <w:lang w:eastAsia="en-AU"/>
        </w:rPr>
        <w:t>Stream 3: Participation support</w:t>
      </w:r>
    </w:p>
    <w:p w:rsidR="001244E7" w:rsidP="001244E7" w:rsidRDefault="00FD1860" w14:paraId="2A4C301E" w14:textId="77777777">
      <w:pPr>
        <w:pStyle w:val="ListParagraph"/>
        <w:shd w:val="clear" w:color="auto" w:fill="FFFFFF"/>
        <w:spacing w:after="180" w:line="300" w:lineRule="atLeast"/>
        <w:rPr>
          <w:rFonts w:eastAsia="Times New Roman" w:cstheme="minorHAnsi"/>
          <w:color w:val="000000"/>
          <w:lang w:eastAsia="en-AU"/>
        </w:rPr>
      </w:pPr>
      <w:r>
        <w:rPr>
          <w:rFonts w:eastAsia="Times New Roman" w:cstheme="minorHAnsi"/>
          <w:color w:val="000000"/>
          <w:lang w:eastAsia="en-AU"/>
        </w:rPr>
        <w:t>Available funding for caring, accessibility and mobility grants for EMCRs form underrepresented groups to enable their attendance to an event or activity that will support their career development.</w:t>
      </w:r>
      <w:r w:rsidR="001244E7">
        <w:rPr>
          <w:rFonts w:eastAsia="Times New Roman" w:cstheme="minorHAnsi"/>
          <w:color w:val="000000"/>
          <w:lang w:eastAsia="en-AU"/>
        </w:rPr>
        <w:t xml:space="preserve"> </w:t>
      </w:r>
    </w:p>
    <w:p w:rsidR="001244E7" w:rsidP="001244E7" w:rsidRDefault="001244E7" w14:paraId="6A797E44" w14:textId="44477965">
      <w:pPr>
        <w:pStyle w:val="ListParagraph"/>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 xml:space="preserve">Support ranges </w:t>
      </w:r>
      <w:r w:rsidR="00E70A93">
        <w:rPr>
          <w:rFonts w:eastAsia="Times New Roman" w:cstheme="minorHAnsi"/>
          <w:color w:val="000000"/>
          <w:lang w:eastAsia="en-AU"/>
        </w:rPr>
        <w:t>up</w:t>
      </w:r>
      <w:r w:rsidRPr="00CD0404">
        <w:rPr>
          <w:rFonts w:eastAsia="Times New Roman" w:cstheme="minorHAnsi"/>
          <w:color w:val="000000"/>
          <w:lang w:eastAsia="en-AU"/>
        </w:rPr>
        <w:t xml:space="preserve"> to $5</w:t>
      </w:r>
      <w:r>
        <w:rPr>
          <w:rFonts w:eastAsia="Times New Roman" w:cstheme="minorHAnsi"/>
          <w:color w:val="000000"/>
          <w:lang w:eastAsia="en-AU"/>
        </w:rPr>
        <w:t>,0</w:t>
      </w:r>
      <w:r w:rsidRPr="00CD0404">
        <w:rPr>
          <w:rFonts w:eastAsia="Times New Roman" w:cstheme="minorHAnsi"/>
          <w:color w:val="000000"/>
          <w:lang w:eastAsia="en-AU"/>
        </w:rPr>
        <w:t>00 per activity for direct activity costs.</w:t>
      </w:r>
    </w:p>
    <w:p w:rsidRPr="00CD0404" w:rsidR="007F7975" w:rsidP="007F7975" w:rsidRDefault="007F7975" w14:paraId="3F0E6129" w14:textId="2E396236">
      <w:pPr>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Applications are open for interdisciplinary activities in the following formats:</w:t>
      </w:r>
    </w:p>
    <w:p w:rsidRPr="00CD0404" w:rsidR="007F7975" w:rsidP="007F7975" w:rsidRDefault="007F7975" w14:paraId="25B22ACD" w14:textId="77777777">
      <w:pPr>
        <w:numPr>
          <w:ilvl w:val="0"/>
          <w:numId w:val="5"/>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Conferences</w:t>
      </w:r>
    </w:p>
    <w:p w:rsidRPr="00CD0404" w:rsidR="007F7975" w:rsidP="007F7975" w:rsidRDefault="007F7975" w14:paraId="3F20CA32" w14:textId="77777777">
      <w:pPr>
        <w:numPr>
          <w:ilvl w:val="0"/>
          <w:numId w:val="5"/>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Symposiums</w:t>
      </w:r>
    </w:p>
    <w:p w:rsidRPr="00CD0404" w:rsidR="007F7975" w:rsidP="007F7975" w:rsidRDefault="007F7975" w14:paraId="67F9C431" w14:textId="77777777">
      <w:pPr>
        <w:numPr>
          <w:ilvl w:val="0"/>
          <w:numId w:val="5"/>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Add-on EMCR activities to existing events</w:t>
      </w:r>
    </w:p>
    <w:p w:rsidRPr="00CD0404" w:rsidR="007F7975" w:rsidP="007F7975" w:rsidRDefault="007F7975" w14:paraId="73E87872" w14:textId="77777777">
      <w:pPr>
        <w:numPr>
          <w:ilvl w:val="0"/>
          <w:numId w:val="5"/>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Training workshops</w:t>
      </w:r>
    </w:p>
    <w:p w:rsidRPr="00E70A93" w:rsidR="00E70A93" w:rsidP="00153C55" w:rsidRDefault="00BC2862" w14:paraId="40A0999A" w14:textId="04E88A7F">
      <w:pPr>
        <w:numPr>
          <w:ilvl w:val="0"/>
          <w:numId w:val="5"/>
        </w:numPr>
        <w:shd w:val="clear" w:color="auto" w:fill="FFFFFF"/>
        <w:spacing w:after="180" w:line="300" w:lineRule="atLeast"/>
        <w:ind w:left="1380"/>
        <w:rPr>
          <w:rFonts w:eastAsia="Times New Roman" w:cstheme="minorHAnsi"/>
          <w:color w:val="000000"/>
          <w:lang w:eastAsia="en-AU"/>
        </w:rPr>
      </w:pPr>
      <w:r>
        <w:rPr>
          <w:rFonts w:eastAsia="Times New Roman" w:cstheme="minorHAnsi"/>
          <w:color w:val="333333"/>
          <w:lang w:eastAsia="en-AU"/>
        </w:rPr>
        <w:t>Brand-n</w:t>
      </w:r>
      <w:r w:rsidR="00E70A93">
        <w:rPr>
          <w:rFonts w:eastAsia="Times New Roman" w:cstheme="minorHAnsi"/>
          <w:color w:val="333333"/>
          <w:lang w:eastAsia="en-AU"/>
        </w:rPr>
        <w:t xml:space="preserve">ew activities </w:t>
      </w:r>
    </w:p>
    <w:p w:rsidRPr="00CD0404" w:rsidR="007F7975" w:rsidP="007F7975" w:rsidRDefault="007F7975" w14:paraId="52C8E3AD" w14:textId="77777777">
      <w:pPr>
        <w:pStyle w:val="Heading2"/>
        <w:rPr>
          <w:rFonts w:eastAsia="Times New Roman"/>
          <w:lang w:eastAsia="en-AU"/>
        </w:rPr>
      </w:pPr>
      <w:r w:rsidRPr="00CD0404">
        <w:rPr>
          <w:rFonts w:eastAsia="Times New Roman"/>
          <w:lang w:eastAsia="en-AU"/>
        </w:rPr>
        <w:lastRenderedPageBreak/>
        <w:t>Eligibility</w:t>
      </w:r>
    </w:p>
    <w:p w:rsidRPr="00CD0404" w:rsidR="007F7975" w:rsidP="007F7975" w:rsidRDefault="007F7975" w14:paraId="7FD33A16" w14:textId="77777777">
      <w:pPr>
        <w:numPr>
          <w:ilvl w:val="0"/>
          <w:numId w:val="2"/>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Activities should be interdisciplinary. Single-discipline activities may be considered for funding if found to be of high relevance for the EMCRs in that discipline.</w:t>
      </w:r>
    </w:p>
    <w:p w:rsidRPr="00CD0404" w:rsidR="007F7975" w:rsidP="007F7975" w:rsidRDefault="007F7975" w14:paraId="656860D1" w14:textId="77777777">
      <w:pPr>
        <w:numPr>
          <w:ilvl w:val="0"/>
          <w:numId w:val="2"/>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Activities proposed must be designed to provide tangible benefits to EMCRs in Australia. They may also include benefits to international EMCRs or non-EMCRs if relevant for the activity.</w:t>
      </w:r>
    </w:p>
    <w:p w:rsidRPr="00CD0404" w:rsidR="007F7975" w:rsidP="007F7975" w:rsidRDefault="007F7975" w14:paraId="70571175" w14:textId="77777777">
      <w:pPr>
        <w:numPr>
          <w:ilvl w:val="0"/>
          <w:numId w:val="2"/>
        </w:numPr>
        <w:shd w:val="clear" w:color="auto" w:fill="FFFFFF"/>
        <w:spacing w:after="0" w:line="300" w:lineRule="atLeast"/>
        <w:ind w:left="1380"/>
        <w:rPr>
          <w:rFonts w:eastAsia="Times New Roman" w:cstheme="minorHAnsi"/>
          <w:color w:val="333333"/>
          <w:lang w:eastAsia="en-AU"/>
        </w:rPr>
      </w:pPr>
      <w:r w:rsidRPr="00CD0404">
        <w:rPr>
          <w:rFonts w:eastAsia="Times New Roman" w:cstheme="minorHAnsi"/>
          <w:color w:val="333333"/>
          <w:lang w:eastAsia="en-AU"/>
        </w:rPr>
        <w:t>All proposals must include at least one </w:t>
      </w:r>
      <w:hyperlink w:history="1" r:id="rId8">
        <w:r w:rsidRPr="00CD0404">
          <w:rPr>
            <w:rFonts w:eastAsia="Times New Roman" w:cstheme="minorHAnsi"/>
            <w:color w:val="337AB7"/>
            <w:u w:val="single"/>
            <w:lang w:eastAsia="en-AU"/>
          </w:rPr>
          <w:t>EMCR Forum member</w:t>
        </w:r>
      </w:hyperlink>
      <w:r w:rsidRPr="00CD0404">
        <w:rPr>
          <w:rFonts w:eastAsia="Times New Roman" w:cstheme="minorHAnsi"/>
          <w:color w:val="333333"/>
          <w:lang w:eastAsia="en-AU"/>
        </w:rPr>
        <w:t> on the organising committee. The EMCR Forum is made up of any person in Australia who self-identifies as an EMCR (typically up to 15 years post-PhD, excluding career interruptions).</w:t>
      </w:r>
    </w:p>
    <w:p w:rsidRPr="00CD0404" w:rsidR="007F7975" w:rsidP="007F7975" w:rsidRDefault="007F7975" w14:paraId="5745A60C" w14:textId="77777777">
      <w:pPr>
        <w:numPr>
          <w:ilvl w:val="0"/>
          <w:numId w:val="2"/>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Face-to-face activities must take place within Australia.</w:t>
      </w:r>
    </w:p>
    <w:p w:rsidRPr="00CD0404" w:rsidR="007F7975" w:rsidP="007F7975" w:rsidRDefault="007F7975" w14:paraId="664B2594" w14:textId="77777777">
      <w:pPr>
        <w:numPr>
          <w:ilvl w:val="0"/>
          <w:numId w:val="2"/>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If relevant to the activity, applicants are encouraged to explore digital delivery of programs to maximise reach and provide more equitable access to EMCRs in regional areas.</w:t>
      </w:r>
    </w:p>
    <w:p w:rsidRPr="00CD0404" w:rsidR="007F7975" w:rsidP="007F7975" w:rsidRDefault="007F7975" w14:paraId="6BED8989" w14:textId="77777777">
      <w:pPr>
        <w:numPr>
          <w:ilvl w:val="0"/>
          <w:numId w:val="2"/>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Activities must incorporate inclusivity, equity and diversity principles.</w:t>
      </w:r>
    </w:p>
    <w:p w:rsidRPr="00CD0404" w:rsidR="007F7975" w:rsidP="007F7975" w:rsidRDefault="007F7975" w14:paraId="12C246C2" w14:textId="77777777">
      <w:pPr>
        <w:numPr>
          <w:ilvl w:val="0"/>
          <w:numId w:val="2"/>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Activities cannot benefit EMCRs in only one organisation.</w:t>
      </w:r>
    </w:p>
    <w:p w:rsidR="007F7975" w:rsidP="007F7975" w:rsidRDefault="007F7975" w14:paraId="422128DD" w14:textId="75F1653D">
      <w:pPr>
        <w:numPr>
          <w:ilvl w:val="0"/>
          <w:numId w:val="2"/>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Activities should be offered to EMCRs at an affordable cost. </w:t>
      </w:r>
    </w:p>
    <w:p w:rsidRPr="00CD0404" w:rsidR="007F7975" w:rsidP="007F7975" w:rsidRDefault="007F7975" w14:paraId="48C5BA50" w14:textId="77777777">
      <w:pPr>
        <w:shd w:val="clear" w:color="auto" w:fill="FFFFFF"/>
        <w:spacing w:after="75" w:line="300" w:lineRule="atLeast"/>
        <w:ind w:left="1020"/>
        <w:rPr>
          <w:rFonts w:eastAsia="Times New Roman" w:cstheme="minorHAnsi"/>
          <w:color w:val="333333"/>
          <w:lang w:eastAsia="en-AU"/>
        </w:rPr>
      </w:pPr>
    </w:p>
    <w:p w:rsidRPr="00CD0404" w:rsidR="007F7975" w:rsidP="007F7975" w:rsidRDefault="007F7975" w14:paraId="0D297C75" w14:textId="77777777">
      <w:pPr>
        <w:pStyle w:val="Heading2"/>
        <w:rPr>
          <w:rFonts w:eastAsia="Times New Roman"/>
          <w:lang w:eastAsia="en-AU"/>
        </w:rPr>
      </w:pPr>
      <w:r w:rsidRPr="00CD0404">
        <w:rPr>
          <w:rFonts w:eastAsia="Times New Roman"/>
          <w:lang w:eastAsia="en-AU"/>
        </w:rPr>
        <w:t>Selection criteria</w:t>
      </w:r>
    </w:p>
    <w:p w:rsidRPr="00CD0404" w:rsidR="007F7975" w:rsidP="007F7975" w:rsidRDefault="007F7975" w14:paraId="0B9843A3" w14:textId="77777777">
      <w:pPr>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The proposed activities must further scientific discovery in STEM by empowering EMCRs. This is measured using the following selection criteria:</w:t>
      </w:r>
    </w:p>
    <w:p w:rsidRPr="00CD0404" w:rsidR="007F7975" w:rsidP="007F7975" w:rsidRDefault="007F7975" w14:paraId="6B67815B" w14:textId="77777777">
      <w:pPr>
        <w:numPr>
          <w:ilvl w:val="0"/>
          <w:numId w:val="3"/>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Benefit to individual EMCRs and the EMCR community</w:t>
      </w:r>
    </w:p>
    <w:p w:rsidRPr="00CD0404" w:rsidR="007F7975" w:rsidP="007F7975" w:rsidRDefault="007F7975" w14:paraId="7CDA6249" w14:textId="77777777">
      <w:pPr>
        <w:numPr>
          <w:ilvl w:val="0"/>
          <w:numId w:val="3"/>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Potential reach within the EMCR community</w:t>
      </w:r>
    </w:p>
    <w:p w:rsidRPr="00CD0404" w:rsidR="007F7975" w:rsidP="007F7975" w:rsidRDefault="007F7975" w14:paraId="60F98FD1" w14:textId="77777777">
      <w:pPr>
        <w:numPr>
          <w:ilvl w:val="0"/>
          <w:numId w:val="3"/>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Ability to achieve inclusivity, equity and diversity</w:t>
      </w:r>
    </w:p>
    <w:p w:rsidRPr="00CD0404" w:rsidR="007F7975" w:rsidP="007F7975" w:rsidRDefault="007F7975" w14:paraId="610F2428" w14:textId="77777777">
      <w:pPr>
        <w:numPr>
          <w:ilvl w:val="0"/>
          <w:numId w:val="3"/>
        </w:numPr>
        <w:shd w:val="clear" w:color="auto" w:fill="FFFFFF"/>
        <w:spacing w:after="75" w:line="300" w:lineRule="atLeast"/>
        <w:ind w:left="1380"/>
        <w:rPr>
          <w:rFonts w:eastAsia="Times New Roman" w:cstheme="minorHAnsi"/>
          <w:color w:val="333333"/>
          <w:lang w:eastAsia="en-AU"/>
        </w:rPr>
      </w:pPr>
      <w:r w:rsidRPr="00CD0404">
        <w:rPr>
          <w:rFonts w:eastAsia="Times New Roman" w:cstheme="minorHAnsi"/>
          <w:color w:val="333333"/>
          <w:lang w:eastAsia="en-AU"/>
        </w:rPr>
        <w:t>Potential outcomes of the activity. </w:t>
      </w:r>
    </w:p>
    <w:p w:rsidR="007F7975" w:rsidP="69C3C7A9" w:rsidRDefault="007F7975" w14:paraId="1CEB0D91" w14:textId="71759808">
      <w:pPr>
        <w:shd w:val="clear" w:color="auto" w:fill="FFFFFF" w:themeFill="background1"/>
        <w:spacing w:after="0" w:line="300" w:lineRule="atLeast"/>
        <w:rPr>
          <w:rFonts w:eastAsia="Times New Roman" w:cs="Calibri" w:cstheme="minorAscii"/>
          <w:color w:val="000000"/>
          <w:lang w:eastAsia="en-AU"/>
        </w:rPr>
      </w:pPr>
      <w:r w:rsidRPr="69C3C7A9" w:rsidR="007F7975">
        <w:rPr>
          <w:rFonts w:eastAsia="Times New Roman" w:cs="Calibri" w:cstheme="minorAscii"/>
          <w:color w:val="000000" w:themeColor="text1" w:themeTint="FF" w:themeShade="FF"/>
          <w:lang w:eastAsia="en-AU"/>
        </w:rPr>
        <w:t>Applicants are encouraged to read </w:t>
      </w:r>
      <w:hyperlink r:id="R80a5a55c17d24d91">
        <w:r w:rsidRPr="69C3C7A9" w:rsidR="007F7975">
          <w:rPr>
            <w:rStyle w:val="Hyperlink"/>
            <w:rFonts w:eastAsia="Times New Roman" w:cs="Calibri" w:cstheme="minorAscii"/>
            <w:lang w:eastAsia="en-AU"/>
          </w:rPr>
          <w:t>the FAQ and tips for propos</w:t>
        </w:r>
        <w:r w:rsidRPr="69C3C7A9" w:rsidR="007F7975">
          <w:rPr>
            <w:rStyle w:val="Hyperlink"/>
            <w:rFonts w:eastAsia="Times New Roman" w:cs="Calibri" w:cstheme="minorAscii"/>
            <w:lang w:eastAsia="en-AU"/>
          </w:rPr>
          <w:t>a</w:t>
        </w:r>
        <w:r w:rsidRPr="69C3C7A9" w:rsidR="007F7975">
          <w:rPr>
            <w:rStyle w:val="Hyperlink"/>
            <w:rFonts w:eastAsia="Times New Roman" w:cs="Calibri" w:cstheme="minorAscii"/>
            <w:lang w:eastAsia="en-AU"/>
          </w:rPr>
          <w:t>ls document </w:t>
        </w:r>
      </w:hyperlink>
      <w:r w:rsidRPr="69C3C7A9" w:rsidR="007F7975">
        <w:rPr>
          <w:rFonts w:eastAsia="Times New Roman" w:cs="Calibri" w:cstheme="minorAscii"/>
          <w:color w:val="000000" w:themeColor="text1" w:themeTint="FF" w:themeShade="FF"/>
          <w:lang w:eastAsia="en-AU"/>
        </w:rPr>
        <w:t>and</w:t>
      </w:r>
      <w:r w:rsidRPr="69C3C7A9" w:rsidR="00BC2862">
        <w:rPr>
          <w:rFonts w:eastAsia="Times New Roman" w:cs="Calibri" w:cstheme="minorAscii"/>
          <w:color w:val="000000" w:themeColor="text1" w:themeTint="FF" w:themeShade="FF"/>
          <w:lang w:eastAsia="en-AU"/>
        </w:rPr>
        <w:t xml:space="preserve"> the</w:t>
      </w:r>
      <w:r w:rsidRPr="69C3C7A9" w:rsidR="007F7975">
        <w:rPr>
          <w:rFonts w:eastAsia="Times New Roman" w:cs="Calibri" w:cstheme="minorAscii"/>
          <w:color w:val="000000" w:themeColor="text1" w:themeTint="FF" w:themeShade="FF"/>
          <w:lang w:eastAsia="en-AU"/>
        </w:rPr>
        <w:t xml:space="preserve"> </w:t>
      </w:r>
      <w:hyperlink r:id="Re5e0dd8e54474e7a">
        <w:r w:rsidRPr="69C3C7A9" w:rsidR="00BC2862">
          <w:rPr>
            <w:rStyle w:val="Hyperlink"/>
            <w:rFonts w:eastAsia="Times New Roman" w:cs="Calibri" w:cstheme="minorAscii"/>
            <w:lang w:eastAsia="en-AU"/>
          </w:rPr>
          <w:t>Flagship and Amplify template application form</w:t>
        </w:r>
      </w:hyperlink>
      <w:r w:rsidRPr="69C3C7A9" w:rsidR="007F7975">
        <w:rPr>
          <w:rFonts w:eastAsia="Times New Roman" w:cs="Calibri" w:cstheme="minorAscii"/>
          <w:color w:val="000000" w:themeColor="text1" w:themeTint="FF" w:themeShade="FF"/>
          <w:lang w:eastAsia="en-AU"/>
        </w:rPr>
        <w:t xml:space="preserve"> to help them prepare their application.</w:t>
      </w:r>
    </w:p>
    <w:p w:rsidRPr="00CD0404" w:rsidR="007F7975" w:rsidP="007F7975" w:rsidRDefault="007F7975" w14:paraId="07CC291C" w14:textId="77777777">
      <w:pPr>
        <w:shd w:val="clear" w:color="auto" w:fill="FFFFFF"/>
        <w:spacing w:after="0" w:line="300" w:lineRule="atLeast"/>
        <w:rPr>
          <w:rFonts w:eastAsia="Times New Roman" w:cstheme="minorHAnsi"/>
          <w:color w:val="000000"/>
          <w:lang w:eastAsia="en-AU"/>
        </w:rPr>
      </w:pPr>
    </w:p>
    <w:p w:rsidRPr="00BC2862" w:rsidR="00BC2862" w:rsidP="00BC2862" w:rsidRDefault="007F7975" w14:paraId="34189B08" w14:textId="2F005048">
      <w:pPr>
        <w:pStyle w:val="Heading2"/>
        <w:rPr>
          <w:rFonts w:eastAsia="Times New Roman"/>
          <w:lang w:eastAsia="en-AU"/>
        </w:rPr>
      </w:pPr>
      <w:r w:rsidRPr="00CD0404">
        <w:rPr>
          <w:rFonts w:eastAsia="Times New Roman"/>
          <w:lang w:eastAsia="en-AU"/>
        </w:rPr>
        <w:t>Selection process</w:t>
      </w:r>
    </w:p>
    <w:p w:rsidRPr="00CD0404" w:rsidR="001244E7" w:rsidP="007F7975" w:rsidRDefault="007F7975" w14:paraId="1212822B" w14:textId="6B186414">
      <w:pPr>
        <w:shd w:val="clear" w:color="auto" w:fill="FFFFFF"/>
        <w:spacing w:after="0" w:line="300" w:lineRule="atLeast"/>
        <w:rPr>
          <w:rFonts w:eastAsia="Times New Roman" w:cstheme="minorHAnsi"/>
          <w:color w:val="000000"/>
          <w:lang w:eastAsia="en-AU"/>
        </w:rPr>
      </w:pPr>
      <w:r w:rsidRPr="00CD0404">
        <w:rPr>
          <w:rFonts w:eastAsia="Times New Roman" w:cstheme="minorHAnsi"/>
          <w:color w:val="000000"/>
          <w:lang w:eastAsia="en-AU"/>
        </w:rPr>
        <w:t>The </w:t>
      </w:r>
      <w:hyperlink w:history="1" r:id="rId11">
        <w:r w:rsidRPr="00CD0404">
          <w:rPr>
            <w:rFonts w:eastAsia="Times New Roman" w:cstheme="minorHAnsi"/>
            <w:color w:val="337AB7"/>
            <w:u w:val="single"/>
            <w:lang w:eastAsia="en-AU"/>
          </w:rPr>
          <w:t>EMCR Committee of the Academy’s Council</w:t>
        </w:r>
      </w:hyperlink>
      <w:r w:rsidRPr="00CD0404">
        <w:rPr>
          <w:rFonts w:eastAsia="Times New Roman" w:cstheme="minorHAnsi"/>
          <w:color w:val="000000"/>
          <w:lang w:eastAsia="en-AU"/>
        </w:rPr>
        <w:t> will assess all eligible applications using the selection criteria and make a recommendation for funding to the Executive Committee of the Academy and the Royal Society (Australia) Board.</w:t>
      </w:r>
    </w:p>
    <w:p w:rsidR="007F7975" w:rsidP="007F7975" w:rsidRDefault="007F7975" w14:paraId="6AC9DB48" w14:textId="2E2174B6">
      <w:pPr>
        <w:shd w:val="clear" w:color="auto" w:fill="FFFFFF"/>
        <w:spacing w:after="0" w:line="300" w:lineRule="atLeast"/>
        <w:rPr>
          <w:rFonts w:eastAsia="Times New Roman" w:cstheme="minorHAnsi"/>
          <w:color w:val="000000"/>
          <w:lang w:eastAsia="en-AU"/>
        </w:rPr>
      </w:pPr>
      <w:r w:rsidRPr="00CD0404">
        <w:rPr>
          <w:rFonts w:eastAsia="Times New Roman" w:cstheme="minorHAnsi"/>
          <w:color w:val="000000"/>
          <w:lang w:eastAsia="en-AU"/>
        </w:rPr>
        <w:t xml:space="preserve">Final decisions will be based on alignment with the selection criteria, and the Academy’s capacity to </w:t>
      </w:r>
      <w:r w:rsidR="00645F94">
        <w:rPr>
          <w:rFonts w:eastAsia="Times New Roman" w:cstheme="minorHAnsi"/>
          <w:color w:val="000000"/>
          <w:lang w:eastAsia="en-AU"/>
        </w:rPr>
        <w:t xml:space="preserve">support the </w:t>
      </w:r>
      <w:r w:rsidRPr="00CD0404">
        <w:rPr>
          <w:rFonts w:eastAsia="Times New Roman" w:cstheme="minorHAnsi"/>
          <w:color w:val="000000"/>
          <w:lang w:eastAsia="en-AU"/>
        </w:rPr>
        <w:t>deliver</w:t>
      </w:r>
      <w:r w:rsidR="00645F94">
        <w:rPr>
          <w:rFonts w:eastAsia="Times New Roman" w:cstheme="minorHAnsi"/>
          <w:color w:val="000000"/>
          <w:lang w:eastAsia="en-AU"/>
        </w:rPr>
        <w:t>y of</w:t>
      </w:r>
      <w:r w:rsidRPr="00CD0404">
        <w:rPr>
          <w:rFonts w:eastAsia="Times New Roman" w:cstheme="minorHAnsi"/>
          <w:color w:val="000000"/>
          <w:lang w:eastAsia="en-AU"/>
        </w:rPr>
        <w:t xml:space="preserve"> the activity within the timeframe. The EMCR Committee of the Academy’s Council will also consider how the activities align and contribute to the </w:t>
      </w:r>
      <w:hyperlink w:history="1" r:id="rId12">
        <w:r w:rsidRPr="00CD0404">
          <w:rPr>
            <w:rFonts w:eastAsia="Times New Roman" w:cstheme="minorHAnsi"/>
            <w:color w:val="337AB7"/>
            <w:u w:val="single"/>
            <w:lang w:eastAsia="en-AU"/>
          </w:rPr>
          <w:t>strategic goals of the Academy</w:t>
        </w:r>
      </w:hyperlink>
      <w:r w:rsidRPr="00CD0404">
        <w:rPr>
          <w:rFonts w:eastAsia="Times New Roman" w:cstheme="minorHAnsi"/>
          <w:color w:val="000000"/>
          <w:lang w:eastAsia="en-AU"/>
        </w:rPr>
        <w:t> and the </w:t>
      </w:r>
      <w:hyperlink w:history="1" r:id="rId13">
        <w:r w:rsidRPr="00CD0404">
          <w:rPr>
            <w:rFonts w:eastAsia="Times New Roman" w:cstheme="minorHAnsi"/>
            <w:color w:val="337AB7"/>
            <w:u w:val="single"/>
            <w:lang w:eastAsia="en-AU"/>
          </w:rPr>
          <w:t>EMCR Forum</w:t>
        </w:r>
      </w:hyperlink>
      <w:r w:rsidRPr="00CD0404">
        <w:rPr>
          <w:rFonts w:eastAsia="Times New Roman" w:cstheme="minorHAnsi"/>
          <w:color w:val="000000"/>
          <w:lang w:eastAsia="en-AU"/>
        </w:rPr>
        <w:t> as part of their decision.</w:t>
      </w:r>
    </w:p>
    <w:p w:rsidRPr="00CD0404" w:rsidR="00BC2862" w:rsidP="007F7975" w:rsidRDefault="00BC2862" w14:paraId="54874754" w14:textId="77777777">
      <w:pPr>
        <w:shd w:val="clear" w:color="auto" w:fill="FFFFFF"/>
        <w:spacing w:after="0" w:line="300" w:lineRule="atLeast"/>
        <w:rPr>
          <w:rFonts w:eastAsia="Times New Roman" w:cstheme="minorHAnsi"/>
          <w:color w:val="000000"/>
          <w:lang w:eastAsia="en-AU"/>
        </w:rPr>
      </w:pPr>
    </w:p>
    <w:p w:rsidRPr="00CD0404" w:rsidR="007F7975" w:rsidP="007F7975" w:rsidRDefault="007F7975" w14:paraId="5CEE3D38" w14:textId="1EA4AA2E">
      <w:pPr>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 xml:space="preserve">Applicants will be notified of the outcome via email in </w:t>
      </w:r>
      <w:r w:rsidRPr="00BC2862" w:rsidR="00BC2862">
        <w:rPr>
          <w:rFonts w:eastAsia="Times New Roman" w:cstheme="minorHAnsi"/>
          <w:b/>
          <w:bCs/>
          <w:color w:val="000000"/>
          <w:lang w:eastAsia="en-AU"/>
        </w:rPr>
        <w:t>early</w:t>
      </w:r>
      <w:r w:rsidR="00BC2862">
        <w:rPr>
          <w:rFonts w:eastAsia="Times New Roman" w:cstheme="minorHAnsi"/>
          <w:color w:val="000000"/>
          <w:lang w:eastAsia="en-AU"/>
        </w:rPr>
        <w:t xml:space="preserve"> </w:t>
      </w:r>
      <w:r w:rsidR="00BC2862">
        <w:rPr>
          <w:rFonts w:eastAsia="Times New Roman" w:cstheme="minorHAnsi"/>
          <w:b/>
          <w:bCs/>
          <w:color w:val="000000"/>
          <w:lang w:eastAsia="en-AU"/>
        </w:rPr>
        <w:t>September</w:t>
      </w:r>
      <w:r w:rsidRPr="00D51965">
        <w:rPr>
          <w:rFonts w:eastAsia="Times New Roman" w:cstheme="minorHAnsi"/>
          <w:b/>
          <w:bCs/>
          <w:color w:val="000000"/>
          <w:lang w:eastAsia="en-AU"/>
        </w:rPr>
        <w:t xml:space="preserve"> 202</w:t>
      </w:r>
      <w:r w:rsidR="00BC2862">
        <w:rPr>
          <w:rFonts w:eastAsia="Times New Roman" w:cstheme="minorHAnsi"/>
          <w:b/>
          <w:bCs/>
          <w:color w:val="000000"/>
          <w:lang w:eastAsia="en-AU"/>
        </w:rPr>
        <w:t>2</w:t>
      </w:r>
      <w:r w:rsidRPr="00CD0404">
        <w:rPr>
          <w:rFonts w:eastAsia="Times New Roman" w:cstheme="minorHAnsi"/>
          <w:color w:val="000000"/>
          <w:lang w:eastAsia="en-AU"/>
        </w:rPr>
        <w:t>.</w:t>
      </w:r>
    </w:p>
    <w:p w:rsidRPr="00CD0404" w:rsidR="007F7975" w:rsidP="007F7975" w:rsidRDefault="007F7975" w14:paraId="3AAF62B0" w14:textId="6CF5E762">
      <w:pPr>
        <w:shd w:val="clear" w:color="auto" w:fill="FFFFFF"/>
        <w:spacing w:after="180" w:line="300" w:lineRule="atLeast"/>
        <w:rPr>
          <w:rFonts w:eastAsia="Times New Roman" w:cstheme="minorHAnsi"/>
          <w:color w:val="000000"/>
          <w:lang w:eastAsia="en-AU"/>
        </w:rPr>
      </w:pPr>
      <w:r w:rsidRPr="00CD0404">
        <w:rPr>
          <w:rFonts w:eastAsia="Times New Roman" w:cstheme="minorHAnsi"/>
          <w:color w:val="000000"/>
          <w:lang w:eastAsia="en-AU"/>
        </w:rPr>
        <w:t xml:space="preserve">Where activities are highly ranked on selection criteria but are not able to be delivered within the timeframe of the current round, the Academy may choose to work with the committee to deliver the activity in </w:t>
      </w:r>
      <w:r w:rsidR="00645F94">
        <w:rPr>
          <w:rFonts w:eastAsia="Times New Roman" w:cstheme="minorHAnsi"/>
          <w:color w:val="000000"/>
          <w:lang w:eastAsia="en-AU"/>
        </w:rPr>
        <w:t>a</w:t>
      </w:r>
      <w:r w:rsidRPr="00CD0404" w:rsidR="00645F94">
        <w:rPr>
          <w:rFonts w:eastAsia="Times New Roman" w:cstheme="minorHAnsi"/>
          <w:color w:val="000000"/>
          <w:lang w:eastAsia="en-AU"/>
        </w:rPr>
        <w:t xml:space="preserve"> </w:t>
      </w:r>
      <w:r w:rsidRPr="00CD0404">
        <w:rPr>
          <w:rFonts w:eastAsia="Times New Roman" w:cstheme="minorHAnsi"/>
          <w:color w:val="000000"/>
          <w:lang w:eastAsia="en-AU"/>
        </w:rPr>
        <w:t>subsequent round.</w:t>
      </w:r>
    </w:p>
    <w:p w:rsidRPr="00CD0404" w:rsidR="007F7975" w:rsidP="007F7975" w:rsidRDefault="007F7975" w14:paraId="7569CF81" w14:textId="77777777">
      <w:pPr>
        <w:shd w:val="clear" w:color="auto" w:fill="FFFFFF"/>
        <w:spacing w:after="180" w:line="300" w:lineRule="atLeast"/>
        <w:rPr>
          <w:rFonts w:eastAsia="Times New Roman" w:cstheme="minorHAnsi"/>
          <w:lang w:eastAsia="en-AU"/>
        </w:rPr>
      </w:pPr>
      <w:r w:rsidRPr="00CD0404">
        <w:rPr>
          <w:rFonts w:eastAsia="Times New Roman" w:cstheme="minorHAnsi"/>
          <w:lang w:eastAsia="en-AU"/>
        </w:rPr>
        <w:lastRenderedPageBreak/>
        <w:t>The Theo Murphy Initiative (Australia) will not fund:</w:t>
      </w:r>
    </w:p>
    <w:p w:rsidRPr="00CD0404" w:rsidR="007F7975" w:rsidP="007F7975" w:rsidRDefault="007F7975" w14:paraId="774A7255" w14:textId="77777777">
      <w:pPr>
        <w:numPr>
          <w:ilvl w:val="0"/>
          <w:numId w:val="4"/>
        </w:numPr>
        <w:shd w:val="clear" w:color="auto" w:fill="FFFFFF"/>
        <w:spacing w:after="75" w:line="300" w:lineRule="atLeast"/>
        <w:ind w:left="1380"/>
        <w:rPr>
          <w:rFonts w:eastAsia="Times New Roman" w:cstheme="minorHAnsi"/>
          <w:lang w:eastAsia="en-AU"/>
        </w:rPr>
      </w:pPr>
      <w:r w:rsidRPr="00CD0404">
        <w:rPr>
          <w:rFonts w:eastAsia="Times New Roman" w:cstheme="minorHAnsi"/>
          <w:lang w:eastAsia="en-AU"/>
        </w:rPr>
        <w:t>activities that are commercial or for-profit</w:t>
      </w:r>
    </w:p>
    <w:p w:rsidRPr="00CD0404" w:rsidR="007F7975" w:rsidP="007F7975" w:rsidRDefault="007F7975" w14:paraId="7E112B6C" w14:textId="77777777">
      <w:pPr>
        <w:numPr>
          <w:ilvl w:val="0"/>
          <w:numId w:val="4"/>
        </w:numPr>
        <w:shd w:val="clear" w:color="auto" w:fill="FFFFFF"/>
        <w:spacing w:after="75" w:line="300" w:lineRule="atLeast"/>
        <w:ind w:left="1380"/>
        <w:rPr>
          <w:rFonts w:eastAsia="Times New Roman" w:cstheme="minorHAnsi"/>
          <w:lang w:eastAsia="en-AU"/>
        </w:rPr>
      </w:pPr>
      <w:r w:rsidRPr="00CD0404">
        <w:rPr>
          <w:rFonts w:eastAsia="Times New Roman" w:cstheme="minorHAnsi"/>
          <w:lang w:eastAsia="en-AU"/>
        </w:rPr>
        <w:t>research projects</w:t>
      </w:r>
    </w:p>
    <w:p w:rsidRPr="00CD0404" w:rsidR="007F7975" w:rsidP="007F7975" w:rsidRDefault="007F7975" w14:paraId="73BBDADF" w14:textId="77777777">
      <w:pPr>
        <w:numPr>
          <w:ilvl w:val="0"/>
          <w:numId w:val="4"/>
        </w:numPr>
        <w:shd w:val="clear" w:color="auto" w:fill="FFFFFF"/>
        <w:spacing w:after="75" w:line="300" w:lineRule="atLeast"/>
        <w:ind w:left="1380"/>
        <w:rPr>
          <w:rFonts w:eastAsia="Times New Roman" w:cstheme="minorHAnsi"/>
          <w:lang w:eastAsia="en-AU"/>
        </w:rPr>
      </w:pPr>
      <w:r w:rsidRPr="00CD0404">
        <w:rPr>
          <w:rFonts w:eastAsia="Times New Roman" w:cstheme="minorHAnsi"/>
          <w:lang w:eastAsia="en-AU"/>
        </w:rPr>
        <w:t>activities that don’t benefit early- and mid-career researchers</w:t>
      </w:r>
    </w:p>
    <w:p w:rsidRPr="00CD0404" w:rsidR="007F7975" w:rsidP="007F7975" w:rsidRDefault="007F7975" w14:paraId="08C89AF8" w14:textId="77777777">
      <w:pPr>
        <w:numPr>
          <w:ilvl w:val="0"/>
          <w:numId w:val="4"/>
        </w:numPr>
        <w:shd w:val="clear" w:color="auto" w:fill="FFFFFF"/>
        <w:spacing w:after="75" w:line="300" w:lineRule="atLeast"/>
        <w:ind w:left="1380"/>
        <w:rPr>
          <w:rFonts w:eastAsia="Times New Roman" w:cstheme="minorHAnsi"/>
          <w:lang w:eastAsia="en-AU"/>
        </w:rPr>
      </w:pPr>
      <w:r w:rsidRPr="00CD0404">
        <w:rPr>
          <w:rFonts w:eastAsia="Times New Roman" w:cstheme="minorHAnsi"/>
          <w:lang w:eastAsia="en-AU"/>
        </w:rPr>
        <w:t>activities that are highly likely to be held without support from the Theo Murphy Initiative (Australia).</w:t>
      </w:r>
    </w:p>
    <w:p w:rsidRPr="007F7975" w:rsidR="00EC3F67" w:rsidP="00EC3F67" w:rsidRDefault="00EC3F67" w14:paraId="175BA336" w14:textId="31910145">
      <w:pPr>
        <w:rPr>
          <w:rFonts w:cstheme="minorHAnsi"/>
        </w:rPr>
      </w:pPr>
    </w:p>
    <w:p w:rsidRPr="00BC2862" w:rsidR="00BC2862" w:rsidP="00BC2862" w:rsidRDefault="00BC2862" w14:paraId="74E4EF81" w14:textId="77777777">
      <w:pPr>
        <w:rPr>
          <w:rFonts w:asciiTheme="majorHAnsi" w:hAnsiTheme="majorHAnsi" w:eastAsiaTheme="majorEastAsia" w:cstheme="majorBidi"/>
          <w:color w:val="2F5496" w:themeColor="accent1" w:themeShade="BF"/>
          <w:sz w:val="26"/>
          <w:szCs w:val="26"/>
        </w:rPr>
      </w:pPr>
      <w:r w:rsidRPr="00BC2862">
        <w:rPr>
          <w:rFonts w:asciiTheme="majorHAnsi" w:hAnsiTheme="majorHAnsi" w:eastAsiaTheme="majorEastAsia" w:cstheme="majorBidi"/>
          <w:color w:val="2F5496" w:themeColor="accent1" w:themeShade="BF"/>
          <w:sz w:val="26"/>
          <w:szCs w:val="26"/>
        </w:rPr>
        <w:t>Supporting documents</w:t>
      </w:r>
    </w:p>
    <w:p w:rsidRPr="00BC2862" w:rsidR="00BC2862" w:rsidP="69C3C7A9" w:rsidRDefault="00BC2862" w14:paraId="0DC52C31" w14:textId="399C88A6">
      <w:pPr>
        <w:rPr>
          <w:rFonts w:eastAsia="" w:cs="Calibri" w:eastAsiaTheme="majorEastAsia" w:cstheme="minorAscii"/>
        </w:rPr>
      </w:pPr>
      <w:hyperlink r:id="Rdaaec19fec324b80">
        <w:r w:rsidRPr="69C3C7A9" w:rsidR="00BC2862">
          <w:rPr>
            <w:rStyle w:val="Hyperlink"/>
            <w:rFonts w:eastAsia="" w:cs="Calibri" w:eastAsiaTheme="majorEastAsia" w:cstheme="minorAscii"/>
          </w:rPr>
          <w:t>Amplify and Flagship template application form</w:t>
        </w:r>
      </w:hyperlink>
    </w:p>
    <w:p w:rsidRPr="00BC2862" w:rsidR="00BC2862" w:rsidP="69C3C7A9" w:rsidRDefault="00BC2862" w14:paraId="603CFEE2" w14:textId="72356B76">
      <w:pPr>
        <w:rPr>
          <w:rFonts w:eastAsia="" w:cs="Calibri" w:eastAsiaTheme="majorEastAsia" w:cstheme="minorAscii"/>
        </w:rPr>
      </w:pPr>
      <w:hyperlink r:id="Re27df689cfec4ced">
        <w:r w:rsidRPr="69C3C7A9" w:rsidR="00BC2862">
          <w:rPr>
            <w:rStyle w:val="Hyperlink"/>
            <w:rFonts w:eastAsia="" w:cs="Calibri" w:eastAsiaTheme="majorEastAsia" w:cstheme="minorAscii"/>
          </w:rPr>
          <w:t>Participation Support template application form</w:t>
        </w:r>
      </w:hyperlink>
    </w:p>
    <w:p w:rsidR="00EC3F67" w:rsidP="69C3C7A9" w:rsidRDefault="00BC2862" w14:paraId="28E71FDC" w14:textId="3154ACDF">
      <w:pPr>
        <w:rPr>
          <w:rFonts w:eastAsia="" w:cs="Calibri" w:eastAsiaTheme="majorEastAsia" w:cstheme="minorAscii"/>
        </w:rPr>
      </w:pPr>
      <w:hyperlink r:id="Rd2be80ef779349d7">
        <w:r w:rsidRPr="69C3C7A9" w:rsidR="00BC2862">
          <w:rPr>
            <w:rStyle w:val="Hyperlink"/>
            <w:rFonts w:eastAsia="" w:cs="Calibri" w:eastAsiaTheme="majorEastAsia" w:cstheme="minorAscii"/>
          </w:rPr>
          <w:t>Budget template</w:t>
        </w:r>
      </w:hyperlink>
    </w:p>
    <w:p w:rsidR="69C3C7A9" w:rsidP="69C3C7A9" w:rsidRDefault="69C3C7A9" w14:paraId="0B66ACE7" w14:textId="0DF29E46">
      <w:pPr>
        <w:pStyle w:val="Normal"/>
        <w:rPr>
          <w:rFonts w:eastAsia="" w:cs="Calibri" w:eastAsiaTheme="majorEastAsia" w:cstheme="minorAscii"/>
        </w:rPr>
      </w:pPr>
      <w:hyperlink r:id="R66a7b28b05c64308">
        <w:r w:rsidRPr="69C3C7A9" w:rsidR="69C3C7A9">
          <w:rPr>
            <w:rStyle w:val="Hyperlink"/>
            <w:rFonts w:eastAsia="" w:cs="Calibri" w:eastAsiaTheme="majorEastAsia" w:cstheme="minorAscii"/>
          </w:rPr>
          <w:t>FAQ and tips for proposals</w:t>
        </w:r>
      </w:hyperlink>
    </w:p>
    <w:p w:rsidRPr="00BC2862" w:rsidR="00BC2862" w:rsidP="69C3C7A9" w:rsidRDefault="00BC2862" w14:paraId="6DFA478F" w14:noSpellErr="1" w14:textId="3811CB2D">
      <w:pPr>
        <w:rPr>
          <w:rFonts w:cs="Calibri" w:cstheme="minorAscii"/>
        </w:rPr>
      </w:pPr>
    </w:p>
    <w:sectPr w:rsidRPr="00BC2862" w:rsidR="00BC2862">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3F67" w:rsidP="00EC3F67" w:rsidRDefault="00EC3F67" w14:paraId="5C21C9AE" w14:textId="77777777">
      <w:pPr>
        <w:spacing w:after="0" w:line="240" w:lineRule="auto"/>
      </w:pPr>
      <w:r>
        <w:separator/>
      </w:r>
    </w:p>
  </w:endnote>
  <w:endnote w:type="continuationSeparator" w:id="0">
    <w:p w:rsidR="00EC3F67" w:rsidP="00EC3F67" w:rsidRDefault="00EC3F67" w14:paraId="6319B8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EC3F67" w:rsidR="00EC3F67" w:rsidP="00EC3F67" w:rsidRDefault="00EC3F67" w14:paraId="53071A8C" w14:textId="17FFA147">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6EDAB18D" wp14:editId="56DA6C8D">
              <wp:simplePos x="0" y="0"/>
              <wp:positionH relativeFrom="page">
                <wp:posOffset>6551930</wp:posOffset>
              </wp:positionH>
              <wp:positionV relativeFrom="page">
                <wp:posOffset>9917430</wp:posOffset>
              </wp:positionV>
              <wp:extent cx="121920" cy="165735"/>
              <wp:effectExtent l="0" t="1905"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F67" w:rsidP="00EC3F67" w:rsidRDefault="00EC3F67" w14:paraId="5CF5E86B" w14:textId="77777777">
                          <w:pPr>
                            <w:pStyle w:val="BodyText"/>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DAB18D">
              <v:stroke joinstyle="miter"/>
              <v:path gradientshapeok="t" o:connecttype="rect"/>
            </v:shapetype>
            <v:shape id="Text Box 2" style="position:absolute;margin-left:515.9pt;margin-top:780.9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">
              <v:textbox inset="0,0,0,0">
                <w:txbxContent>
                  <w:p w:rsidR="00EC3F67" w:rsidP="00EC3F67" w:rsidRDefault="00EC3F67" w14:paraId="5CF5E86B" w14:textId="77777777">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48340A8" wp14:editId="0A5421EF">
              <wp:simplePos x="0" y="0"/>
              <wp:positionH relativeFrom="page">
                <wp:posOffset>901700</wp:posOffset>
              </wp:positionH>
              <wp:positionV relativeFrom="page">
                <wp:posOffset>9927590</wp:posOffset>
              </wp:positionV>
              <wp:extent cx="4119880" cy="15240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F67" w:rsidP="00EC3F67" w:rsidRDefault="00EC3F67" w14:paraId="62C9348B" w14:textId="5F0EE064">
                          <w:pPr>
                            <w:spacing w:line="223" w:lineRule="exact"/>
                            <w:ind w:left="20"/>
                            <w:rPr>
                              <w:b/>
                              <w:sz w:val="20"/>
                            </w:rPr>
                          </w:pPr>
                          <w:r>
                            <w:rPr>
                              <w:b/>
                              <w:color w:val="001F5F"/>
                              <w:sz w:val="20"/>
                            </w:rPr>
                            <w:t>Guidelines |Theo Murphy Initiative (Australia) 2022/23 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71pt;margin-top:781.7pt;width:324.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" w14:anchorId="148340A8">
              <v:textbox inset="0,0,0,0">
                <w:txbxContent>
                  <w:p w:rsidR="00EC3F67" w:rsidP="00EC3F67" w:rsidRDefault="00EC3F67" w14:paraId="62C9348B" w14:textId="5F0EE064">
                    <w:pPr>
                      <w:spacing w:line="223" w:lineRule="exact"/>
                      <w:ind w:left="20"/>
                      <w:rPr>
                        <w:b/>
                        <w:sz w:val="20"/>
                      </w:rPr>
                    </w:pPr>
                    <w:r>
                      <w:rPr>
                        <w:b/>
                        <w:color w:val="001F5F"/>
                        <w:sz w:val="20"/>
                      </w:rPr>
                      <w:t>Guidelines</w:t>
                    </w:r>
                    <w:r>
                      <w:rPr>
                        <w:b/>
                        <w:color w:val="001F5F"/>
                        <w:sz w:val="20"/>
                      </w:rPr>
                      <w:t xml:space="preserve"> |Theo Murphy Initiative (Australia) 2022/23 </w:t>
                    </w:r>
                    <w:r>
                      <w:rPr>
                        <w:b/>
                        <w:color w:val="001F5F"/>
                        <w:sz w:val="20"/>
                      </w:rPr>
                      <w:t>R</w:t>
                    </w:r>
                    <w:r>
                      <w:rPr>
                        <w:b/>
                        <w:color w:val="001F5F"/>
                        <w:sz w:val="20"/>
                      </w:rPr>
                      <w:t>ound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3F67" w:rsidP="00EC3F67" w:rsidRDefault="00EC3F67" w14:paraId="6D64D63F" w14:textId="77777777">
      <w:pPr>
        <w:spacing w:after="0" w:line="240" w:lineRule="auto"/>
      </w:pPr>
      <w:r>
        <w:separator/>
      </w:r>
    </w:p>
  </w:footnote>
  <w:footnote w:type="continuationSeparator" w:id="0">
    <w:p w:rsidR="00EC3F67" w:rsidP="00EC3F67" w:rsidRDefault="00EC3F67" w14:paraId="7B539DE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032"/>
    <w:multiLevelType w:val="multilevel"/>
    <w:tmpl w:val="0B5AE4E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934EDF"/>
    <w:multiLevelType w:val="multilevel"/>
    <w:tmpl w:val="2522E98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9F68CC"/>
    <w:multiLevelType w:val="multilevel"/>
    <w:tmpl w:val="7182E07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C1564AF"/>
    <w:multiLevelType w:val="hybridMultilevel"/>
    <w:tmpl w:val="9E3868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FA61BDF"/>
    <w:multiLevelType w:val="multilevel"/>
    <w:tmpl w:val="DD54694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49C092E"/>
    <w:multiLevelType w:val="hybridMultilevel"/>
    <w:tmpl w:val="B4EE85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462764979">
    <w:abstractNumId w:val="3"/>
  </w:num>
  <w:num w:numId="2" w16cid:durableId="1894001266">
    <w:abstractNumId w:val="1"/>
  </w:num>
  <w:num w:numId="3" w16cid:durableId="334773054">
    <w:abstractNumId w:val="2"/>
  </w:num>
  <w:num w:numId="4" w16cid:durableId="127674532">
    <w:abstractNumId w:val="0"/>
  </w:num>
  <w:num w:numId="5" w16cid:durableId="431631455">
    <w:abstractNumId w:val="4"/>
  </w:num>
  <w:num w:numId="6" w16cid:durableId="438064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67"/>
    <w:rsid w:val="001244E7"/>
    <w:rsid w:val="00153C55"/>
    <w:rsid w:val="00645F94"/>
    <w:rsid w:val="007F7975"/>
    <w:rsid w:val="00A5647E"/>
    <w:rsid w:val="00B7543A"/>
    <w:rsid w:val="00BC2862"/>
    <w:rsid w:val="00D51965"/>
    <w:rsid w:val="00D87181"/>
    <w:rsid w:val="00E70A93"/>
    <w:rsid w:val="00EC3F67"/>
    <w:rsid w:val="00FD1860"/>
    <w:rsid w:val="25E02785"/>
    <w:rsid w:val="2B63939C"/>
    <w:rsid w:val="2D64D85C"/>
    <w:rsid w:val="47911056"/>
    <w:rsid w:val="69C3C7A9"/>
    <w:rsid w:val="70096F47"/>
    <w:rsid w:val="73411009"/>
    <w:rsid w:val="771A33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5B8BC"/>
  <w15:chartTrackingRefBased/>
  <w15:docId w15:val="{0DD4A206-662D-4CD9-9D16-B7E70F49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3F6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797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3F67"/>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EC3F67"/>
    <w:pPr>
      <w:ind w:left="720"/>
      <w:contextualSpacing/>
    </w:pPr>
  </w:style>
  <w:style w:type="paragraph" w:styleId="Header">
    <w:name w:val="header"/>
    <w:basedOn w:val="Normal"/>
    <w:link w:val="HeaderChar"/>
    <w:uiPriority w:val="99"/>
    <w:unhideWhenUsed/>
    <w:rsid w:val="00EC3F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3F67"/>
  </w:style>
  <w:style w:type="paragraph" w:styleId="Footer">
    <w:name w:val="footer"/>
    <w:basedOn w:val="Normal"/>
    <w:link w:val="FooterChar"/>
    <w:uiPriority w:val="99"/>
    <w:unhideWhenUsed/>
    <w:rsid w:val="00EC3F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3F67"/>
  </w:style>
  <w:style w:type="paragraph" w:styleId="BodyText">
    <w:name w:val="Body Text"/>
    <w:basedOn w:val="Normal"/>
    <w:link w:val="BodyTextChar"/>
    <w:uiPriority w:val="1"/>
    <w:qFormat/>
    <w:rsid w:val="00EC3F67"/>
    <w:pPr>
      <w:widowControl w:val="0"/>
      <w:autoSpaceDE w:val="0"/>
      <w:autoSpaceDN w:val="0"/>
      <w:spacing w:after="0" w:line="240" w:lineRule="auto"/>
      <w:ind w:left="100"/>
    </w:pPr>
    <w:rPr>
      <w:rFonts w:ascii="Calibri" w:hAnsi="Calibri" w:eastAsia="Calibri" w:cs="Calibri"/>
      <w:lang w:val="en-US"/>
    </w:rPr>
  </w:style>
  <w:style w:type="character" w:styleId="BodyTextChar" w:customStyle="1">
    <w:name w:val="Body Text Char"/>
    <w:basedOn w:val="DefaultParagraphFont"/>
    <w:link w:val="BodyText"/>
    <w:uiPriority w:val="1"/>
    <w:rsid w:val="00EC3F67"/>
    <w:rPr>
      <w:rFonts w:ascii="Calibri" w:hAnsi="Calibri" w:eastAsia="Calibri" w:cs="Calibri"/>
      <w:lang w:val="en-US"/>
    </w:rPr>
  </w:style>
  <w:style w:type="character" w:styleId="Hyperlink">
    <w:name w:val="Hyperlink"/>
    <w:basedOn w:val="DefaultParagraphFont"/>
    <w:uiPriority w:val="99"/>
    <w:unhideWhenUsed/>
    <w:rsid w:val="00B7543A"/>
    <w:rPr>
      <w:color w:val="0000FF"/>
      <w:u w:val="single"/>
    </w:rPr>
  </w:style>
  <w:style w:type="character" w:styleId="Heading2Char" w:customStyle="1">
    <w:name w:val="Heading 2 Char"/>
    <w:basedOn w:val="DefaultParagraphFont"/>
    <w:link w:val="Heading2"/>
    <w:uiPriority w:val="9"/>
    <w:rsid w:val="007F7975"/>
    <w:rPr>
      <w:rFonts w:asciiTheme="majorHAnsi" w:hAnsiTheme="majorHAnsi" w:eastAsiaTheme="majorEastAsia" w:cstheme="majorBidi"/>
      <w:color w:val="2F5496" w:themeColor="accent1" w:themeShade="BF"/>
      <w:sz w:val="26"/>
      <w:szCs w:val="26"/>
    </w:rPr>
  </w:style>
  <w:style w:type="character" w:styleId="CommentReference">
    <w:name w:val="annotation reference"/>
    <w:basedOn w:val="DefaultParagraphFont"/>
    <w:uiPriority w:val="99"/>
    <w:semiHidden/>
    <w:unhideWhenUsed/>
    <w:rsid w:val="001244E7"/>
    <w:rPr>
      <w:sz w:val="16"/>
      <w:szCs w:val="16"/>
    </w:rPr>
  </w:style>
  <w:style w:type="paragraph" w:styleId="CommentText">
    <w:name w:val="annotation text"/>
    <w:basedOn w:val="Normal"/>
    <w:link w:val="CommentTextChar"/>
    <w:uiPriority w:val="99"/>
    <w:unhideWhenUsed/>
    <w:rsid w:val="001244E7"/>
    <w:pPr>
      <w:spacing w:line="240" w:lineRule="auto"/>
    </w:pPr>
    <w:rPr>
      <w:sz w:val="20"/>
      <w:szCs w:val="20"/>
    </w:rPr>
  </w:style>
  <w:style w:type="character" w:styleId="CommentTextChar" w:customStyle="1">
    <w:name w:val="Comment Text Char"/>
    <w:basedOn w:val="DefaultParagraphFont"/>
    <w:link w:val="CommentText"/>
    <w:uiPriority w:val="99"/>
    <w:rsid w:val="001244E7"/>
    <w:rPr>
      <w:sz w:val="20"/>
      <w:szCs w:val="20"/>
    </w:rPr>
  </w:style>
  <w:style w:type="paragraph" w:styleId="CommentSubject">
    <w:name w:val="annotation subject"/>
    <w:basedOn w:val="CommentText"/>
    <w:next w:val="CommentText"/>
    <w:link w:val="CommentSubjectChar"/>
    <w:uiPriority w:val="99"/>
    <w:semiHidden/>
    <w:unhideWhenUsed/>
    <w:rsid w:val="001244E7"/>
    <w:rPr>
      <w:b/>
      <w:bCs/>
    </w:rPr>
  </w:style>
  <w:style w:type="character" w:styleId="CommentSubjectChar" w:customStyle="1">
    <w:name w:val="Comment Subject Char"/>
    <w:basedOn w:val="CommentTextChar"/>
    <w:link w:val="CommentSubject"/>
    <w:uiPriority w:val="99"/>
    <w:semiHidden/>
    <w:rsid w:val="001244E7"/>
    <w:rPr>
      <w:b/>
      <w:bCs/>
      <w:sz w:val="20"/>
      <w:szCs w:val="20"/>
    </w:rPr>
  </w:style>
  <w:style w:type="paragraph" w:styleId="Revision">
    <w:name w:val="Revision"/>
    <w:hidden/>
    <w:uiPriority w:val="99"/>
    <w:semiHidden/>
    <w:rsid w:val="00645F94"/>
    <w:pPr>
      <w:spacing w:after="0" w:line="240" w:lineRule="auto"/>
    </w:pPr>
  </w:style>
  <w:style w:type="character" w:styleId="UnresolvedMention">
    <w:name w:val="Unresolved Mention"/>
    <w:basedOn w:val="DefaultParagraphFont"/>
    <w:uiPriority w:val="99"/>
    <w:semiHidden/>
    <w:unhideWhenUsed/>
    <w:rsid w:val="00BC2862"/>
    <w:rPr>
      <w:color w:val="605E5C"/>
      <w:shd w:val="clear" w:color="auto" w:fill="E1DFDD"/>
    </w:rPr>
  </w:style>
  <w:style w:type="character" w:styleId="FollowedHyperlink">
    <w:name w:val="FollowedHyperlink"/>
    <w:basedOn w:val="DefaultParagraphFont"/>
    <w:uiPriority w:val="99"/>
    <w:semiHidden/>
    <w:unhideWhenUsed/>
    <w:rsid w:val="00BC2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org.au/supporting-science/early-and-mid-career-researchers-0/emcrs/emcr-membership-registration" TargetMode="External" Id="rId8" /><Relationship Type="http://schemas.openxmlformats.org/officeDocument/2006/relationships/hyperlink" Target="https://www.science.org.au/supporting-science/early-and-mid-career-researchers-0/about-emcr-forum"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www.science.org.au/opportunities/conference-and-lecture-funding/theo-murphy-initiative-australia" TargetMode="External" Id="rId7" /><Relationship Type="http://schemas.openxmlformats.org/officeDocument/2006/relationships/hyperlink" Target="https://www.science.org.au/about-us/academy/strategic-plan"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science.org.au/about-us/governance/committees-council/governance-committees-council/emcr-committee" TargetMode="External" Id="rId11"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hyperlink" Target="https://ausacademyofscience.sharepoint.com/:w:/s/DiversityAndInclusion/Eb0uySDpUQ5Knzu3l7uPLMwBdjXa1TKgU-dicrmB134Mhw?e=3X9XMT" TargetMode="External" Id="R80a5a55c17d24d91" /><Relationship Type="http://schemas.openxmlformats.org/officeDocument/2006/relationships/hyperlink" Target="https://ausacademyofscience.sharepoint.com/:b:/s/DiversityAndInclusion/EfJz-Z6QUNlBpbxOkt16FUkBcc0obJfjmgckPWv2xDdHhw?e=uzalEs" TargetMode="External" Id="Re5e0dd8e54474e7a" /><Relationship Type="http://schemas.openxmlformats.org/officeDocument/2006/relationships/hyperlink" Target="https://ausacademyofscience.sharepoint.com/:b:/s/DiversityAndInclusion/EfJz-Z6QUNlBpbxOkt16FUkBcc0obJfjmgckPWv2xDdHhw?e=uzalEs" TargetMode="External" Id="Rdaaec19fec324b80" /><Relationship Type="http://schemas.openxmlformats.org/officeDocument/2006/relationships/hyperlink" Target="https://ausacademyofscience.sharepoint.com/:b:/s/DiversityAndInclusion/EcQSOlj7LjZGkxSIJq2iwOIBbJahWOZMfQipzv_GiTMjEQ?e=sMgeim" TargetMode="External" Id="Re27df689cfec4ced" /><Relationship Type="http://schemas.openxmlformats.org/officeDocument/2006/relationships/hyperlink" Target="https://ausacademyofscience.sharepoint.com/:w:/s/DiversityAndInclusion/Ef5J2cOd4ChKlB0Ly746KCMBPGO0grKg33WTuD_cmf2NqA?e=9E5NBi" TargetMode="External" Id="Rd2be80ef779349d7" /><Relationship Type="http://schemas.openxmlformats.org/officeDocument/2006/relationships/hyperlink" Target="https://ausacademyofscience.sharepoint.com/:w:/s/DiversityAndInclusion/Eb0uySDpUQ5Knzu3l7uPLMwBdjXa1TKgU-dicrmB134Mhw?e=3X9XMT" TargetMode="External" Id="R66a7b28b05c643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E8E93D206DC4CBCDD915EA05C0940" ma:contentTypeVersion="6" ma:contentTypeDescription="Create a new document." ma:contentTypeScope="" ma:versionID="1a6e4bd4f07ee31d68b3a4ce1f578c46">
  <xsd:schema xmlns:xsd="http://www.w3.org/2001/XMLSchema" xmlns:xs="http://www.w3.org/2001/XMLSchema" xmlns:p="http://schemas.microsoft.com/office/2006/metadata/properties" xmlns:ns2="7c612b10-120a-498f-b2d5-e965d23fe631" targetNamespace="http://schemas.microsoft.com/office/2006/metadata/properties" ma:root="true" ma:fieldsID="c35e032d76a0877a3bf17874117cbf14" ns2:_="">
    <xsd:import namespace="7c612b10-120a-498f-b2d5-e965d23fe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2b10-120a-498f-b2d5-e965d23fe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40067-9B40-44EC-8D64-6CA4FC94FD32}"/>
</file>

<file path=customXml/itemProps2.xml><?xml version="1.0" encoding="utf-8"?>
<ds:datastoreItem xmlns:ds="http://schemas.openxmlformats.org/officeDocument/2006/customXml" ds:itemID="{870F4603-6CF0-43A9-BA44-A0961A9E1EDC}"/>
</file>

<file path=customXml/itemProps3.xml><?xml version="1.0" encoding="utf-8"?>
<ds:datastoreItem xmlns:ds="http://schemas.openxmlformats.org/officeDocument/2006/customXml" ds:itemID="{7E21E6A1-AC5B-4908-A51C-12D3035E24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Zach Ghirardello</dc:creator>
  <keywords/>
  <dc:description/>
  <lastModifiedBy>Aisha Setipa</lastModifiedBy>
  <revision>3</revision>
  <dcterms:created xsi:type="dcterms:W3CDTF">2022-07-01T04:59:00.0000000Z</dcterms:created>
  <dcterms:modified xsi:type="dcterms:W3CDTF">2022-07-08T03:22:14.6976473Z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0x0101009B3E8E93D206DC4CBCDD915EA05C0940</vt:lpwstr>
  </property>
</Properties>
</file>